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EEF8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</w:rPr>
        <w:t>湖州学院2025年度实践教学专项检查</w:t>
      </w:r>
    </w:p>
    <w:p w14:paraId="58F4CF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</w:rPr>
        <w:t>工作方案</w:t>
      </w:r>
    </w:p>
    <w:p w14:paraId="453B99EF">
      <w:pPr>
        <w:rPr>
          <w:rFonts w:hint="default" w:ascii="Times New Roman" w:hAnsi="Times New Roman" w:cs="Times New Roman"/>
          <w:sz w:val="21"/>
          <w:szCs w:val="21"/>
        </w:rPr>
      </w:pPr>
    </w:p>
    <w:p w14:paraId="42C7A8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一、指导思想</w:t>
      </w:r>
    </w:p>
    <w:p w14:paraId="009BE1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以《教育部关于深化本科教育教学改革全面提高人才培养质量的意见》《普通高等学校本科专业类教学质量国家标准》为指导，聚焦高素质应用型人才培养核心目标，通过系统性检查全面梳理我校实践教学体系运行现状，重点解决实践教学环节存在的重形式轻实效、资源利用不充分、质量监控薄弱等问题，推动实践教学改革与创新，提升学生实践能力、创新精神和职业素养。</w:t>
      </w:r>
    </w:p>
    <w:p w14:paraId="772314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二、工作目标</w:t>
      </w:r>
    </w:p>
    <w:p w14:paraId="17E46A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全面诊断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：覆盖全校所有专业的实验、实习、实训、课程设计、毕业论文（设计）、学科竞赛、创新创业实践等全类型实践教学环节，形成“问题清单+典型案例”数据库。</w:t>
      </w:r>
    </w:p>
    <w:p w14:paraId="30D3E4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精准改进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：针对检查发现的共性问题和个性问题，提出可操作的整改建议，推动建立“检查</w:t>
      </w:r>
      <w:r>
        <w:rPr>
          <w:rFonts w:hint="eastAsia" w:cs="Times New Roman"/>
          <w:sz w:val="32"/>
          <w:szCs w:val="32"/>
          <w:lang w:eastAsia="zh-CN"/>
        </w:rPr>
        <w:t>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反馈</w:t>
      </w:r>
      <w:r>
        <w:rPr>
          <w:rFonts w:hint="eastAsia" w:cs="Times New Roman"/>
          <w:sz w:val="32"/>
          <w:szCs w:val="32"/>
          <w:lang w:eastAsia="zh-CN"/>
        </w:rPr>
        <w:t>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整改</w:t>
      </w:r>
      <w:r>
        <w:rPr>
          <w:rFonts w:hint="eastAsia" w:cs="Times New Roman"/>
          <w:sz w:val="32"/>
          <w:szCs w:val="32"/>
          <w:lang w:eastAsia="zh-CN"/>
        </w:rPr>
        <w:t>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复查”闭环机制。</w:t>
      </w:r>
    </w:p>
    <w:p w14:paraId="4C048E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长效赋能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：总结推广优秀实践教学经验，完善实践教学管理制度与质量标准，强化二级学院主体责任，提升实践教学管理规范化水平。</w:t>
      </w:r>
    </w:p>
    <w:p w14:paraId="65D722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三、检查范围与对象</w:t>
      </w:r>
    </w:p>
    <w:p w14:paraId="0956BE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（一）时间范围</w:t>
      </w:r>
    </w:p>
    <w:p w14:paraId="5FCF09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2025年度开设的所有实践教学环节（含跨学期延续性项目）。</w:t>
      </w:r>
    </w:p>
    <w:p w14:paraId="249949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（二）空间范围</w:t>
      </w:r>
    </w:p>
    <w:p w14:paraId="279EC6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校内：各学院实验室、工程训练中心等；</w:t>
      </w:r>
    </w:p>
    <w:p w14:paraId="113006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校外：签约实践基地、校企合作单位等。</w:t>
      </w:r>
    </w:p>
    <w:p w14:paraId="7A7D70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（三）对象覆盖</w:t>
      </w:r>
    </w:p>
    <w:p w14:paraId="196396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全校7个学院涉及实践教学的所有专业；</w:t>
      </w:r>
    </w:p>
    <w:p w14:paraId="1C8412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相关职能部门：教务处、实验室与设备管理处、学生工作部、发规处等。</w:t>
      </w:r>
    </w:p>
    <w:p w14:paraId="11C8E1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四、检查内容与指标体系</w:t>
      </w:r>
    </w:p>
    <w:p w14:paraId="7D4B17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围绕“制度</w:t>
      </w:r>
      <w:r>
        <w:rPr>
          <w:rFonts w:hint="eastAsia" w:cs="Times New Roman"/>
          <w:sz w:val="32"/>
          <w:szCs w:val="32"/>
          <w:lang w:eastAsia="zh-CN"/>
        </w:rPr>
        <w:t>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过程</w:t>
      </w:r>
      <w:r>
        <w:rPr>
          <w:rFonts w:hint="eastAsia" w:cs="Times New Roman"/>
          <w:sz w:val="32"/>
          <w:szCs w:val="32"/>
          <w:lang w:eastAsia="zh-CN"/>
        </w:rPr>
        <w:t>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资源</w:t>
      </w:r>
      <w:r>
        <w:rPr>
          <w:rFonts w:hint="eastAsia" w:cs="Times New Roman"/>
          <w:sz w:val="32"/>
          <w:szCs w:val="32"/>
          <w:lang w:eastAsia="zh-CN"/>
        </w:rPr>
        <w:t>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效果”四大维度，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设置4项一级指标、1</w:t>
      </w:r>
      <w:r>
        <w:rPr>
          <w:rFonts w:hint="eastAsia" w:cs="Times New Roman"/>
          <w:sz w:val="32"/>
          <w:szCs w:val="32"/>
          <w:highlight w:val="non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项二级指标、3</w:t>
      </w:r>
      <w:r>
        <w:rPr>
          <w:rFonts w:hint="eastAsia" w:cs="Times New Roman"/>
          <w:sz w:val="32"/>
          <w:szCs w:val="32"/>
          <w:highlight w:val="none"/>
          <w:lang w:val="en-US" w:eastAsia="zh-CN"/>
        </w:rPr>
        <w:t>7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项三级观测点（详见附件</w:t>
      </w:r>
      <w:r>
        <w:rPr>
          <w:rFonts w:hint="eastAsia" w:cs="Times New Roman"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），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具体内容如下：</w:t>
      </w:r>
    </w:p>
    <w:p w14:paraId="3F5F5D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（一）实践教学制度建设（权重20%）</w:t>
      </w:r>
    </w:p>
    <w:p w14:paraId="4BFBEE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cs="Times New Roman"/>
          <w:b/>
          <w:bCs/>
          <w:sz w:val="32"/>
          <w:szCs w:val="32"/>
          <w:lang w:val="en-US" w:eastAsia="zh-CN"/>
        </w:rPr>
        <w:t xml:space="preserve">1.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制度完备性：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是否出台《实践教学管理办法》《实习基地建设与管理办法》《毕业论文（设计）</w:t>
      </w:r>
      <w:r>
        <w:rPr>
          <w:rFonts w:hint="eastAsia" w:cs="Times New Roman"/>
          <w:sz w:val="32"/>
          <w:szCs w:val="32"/>
          <w:lang w:val="en-US" w:eastAsia="zh-CN"/>
        </w:rPr>
        <w:t>实施细则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》等院级实践教学管理制度；</w:t>
      </w:r>
    </w:p>
    <w:p w14:paraId="4856D1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cs="Times New Roman"/>
          <w:b/>
          <w:bCs/>
          <w:sz w:val="32"/>
          <w:szCs w:val="32"/>
          <w:lang w:val="en-US" w:eastAsia="zh-CN"/>
        </w:rPr>
        <w:t xml:space="preserve">2.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执行规范性：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实践教学计划是否与人才培养方案匹配，开课审批、过程记录、成绩评定等环节是否符合制度要求；</w:t>
      </w:r>
    </w:p>
    <w:p w14:paraId="72E951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cs="Times New Roman"/>
          <w:b/>
          <w:bCs/>
          <w:sz w:val="32"/>
          <w:szCs w:val="32"/>
          <w:lang w:val="en-US" w:eastAsia="zh-CN"/>
        </w:rPr>
        <w:t xml:space="preserve">3.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特色创新性：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是否结合专业特点制定个性化实践教学方案。</w:t>
      </w:r>
    </w:p>
    <w:p w14:paraId="17522F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（二）实践教学过程管理（权重30%）</w:t>
      </w:r>
    </w:p>
    <w:p w14:paraId="788FFE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cs="Times New Roman"/>
          <w:b/>
          <w:bCs/>
          <w:sz w:val="32"/>
          <w:szCs w:val="32"/>
          <w:lang w:val="en-US" w:eastAsia="zh-CN"/>
        </w:rPr>
        <w:t xml:space="preserve">1.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实验教学：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实验项目开出率、综合性/设计性实验占比、实验室开放时长；</w:t>
      </w:r>
    </w:p>
    <w:p w14:paraId="751D99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2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cs="Times New Roman"/>
          <w:b/>
          <w:bCs/>
          <w:sz w:val="30"/>
          <w:szCs w:val="30"/>
          <w:lang w:val="en-US" w:eastAsia="zh-CN"/>
        </w:rPr>
        <w:t xml:space="preserve">2. </w:t>
      </w:r>
      <w:r>
        <w:rPr>
          <w:rFonts w:hint="default" w:ascii="Times New Roman" w:hAnsi="Times New Roman" w:eastAsia="仿宋_GB2312" w:cs="Times New Roman"/>
          <w:b/>
          <w:bCs/>
          <w:sz w:val="30"/>
          <w:szCs w:val="30"/>
        </w:rPr>
        <w:t>实习教学：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实习计划覆盖率（100%）、校内外指导教师配备</w:t>
      </w:r>
      <w:r>
        <w:rPr>
          <w:rFonts w:hint="eastAsia" w:cs="Times New Roman"/>
          <w:sz w:val="32"/>
          <w:szCs w:val="32"/>
          <w:lang w:eastAsia="zh-CN"/>
        </w:rPr>
        <w:t>比例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、实习日志/报告完整性（抽查合格率≥90%）、安全事故发生率（0）；</w:t>
      </w:r>
    </w:p>
    <w:p w14:paraId="3733CC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cs="Times New Roman"/>
          <w:b/>
          <w:bCs/>
          <w:sz w:val="32"/>
          <w:szCs w:val="32"/>
          <w:lang w:val="en-US" w:eastAsia="zh-CN"/>
        </w:rPr>
        <w:t xml:space="preserve">3.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课程设计与毕业论文（设计）：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选题与专业契合度（≥90%）、选题来源于实践案例比例（工科/经管类≥</w:t>
      </w:r>
      <w:r>
        <w:rPr>
          <w:rFonts w:hint="eastAsia" w:cs="Times New Roman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仿宋_GB2312" w:cs="Times New Roman"/>
          <w:sz w:val="32"/>
          <w:szCs w:val="32"/>
        </w:rPr>
        <w:t>0%、文科≥40%）、教师指导频次、查重检测通过率；</w:t>
      </w:r>
    </w:p>
    <w:p w14:paraId="6D4B19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cs="Times New Roman"/>
          <w:b/>
          <w:bCs/>
          <w:sz w:val="32"/>
          <w:szCs w:val="32"/>
          <w:lang w:val="en-US" w:eastAsia="zh-CN"/>
        </w:rPr>
        <w:t xml:space="preserve">4.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学科竞赛与创新创业：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年度参与学生比例、省级以上</w:t>
      </w:r>
      <w:r>
        <w:rPr>
          <w:rFonts w:hint="eastAsia" w:cs="Times New Roman"/>
          <w:sz w:val="32"/>
          <w:szCs w:val="32"/>
          <w:lang w:val="en-US" w:eastAsia="zh-CN"/>
        </w:rPr>
        <w:t>A类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竞赛获奖增长率、创业项目参与率。</w:t>
      </w:r>
    </w:p>
    <w:p w14:paraId="46CE19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（三）实践教学资源保障（权重25%）</w:t>
      </w:r>
    </w:p>
    <w:p w14:paraId="5E8A60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cs="Times New Roman"/>
          <w:b/>
          <w:bCs/>
          <w:sz w:val="32"/>
          <w:szCs w:val="32"/>
          <w:lang w:val="en-US" w:eastAsia="zh-CN"/>
        </w:rPr>
        <w:t xml:space="preserve">1.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师资条件：</w:t>
      </w:r>
      <w:r>
        <w:rPr>
          <w:rFonts w:hint="eastAsia" w:cs="Times New Roman"/>
          <w:b w:val="0"/>
          <w:bCs w:val="0"/>
          <w:sz w:val="32"/>
          <w:szCs w:val="32"/>
          <w:lang w:eastAsia="zh-CN"/>
        </w:rPr>
        <w:t>“双师型”教师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占比、企业导师聘任数量、教师培训年均时长；</w:t>
      </w:r>
    </w:p>
    <w:p w14:paraId="668EE4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cs="Times New Roman"/>
          <w:b/>
          <w:bCs/>
          <w:sz w:val="32"/>
          <w:szCs w:val="32"/>
          <w:lang w:val="en-US" w:eastAsia="zh-CN"/>
        </w:rPr>
        <w:t xml:space="preserve">2.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场地与设备：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生均实验面积、设备完好率；</w:t>
      </w:r>
    </w:p>
    <w:p w14:paraId="4284AA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cs="Times New Roman"/>
          <w:b/>
          <w:bCs/>
          <w:sz w:val="32"/>
          <w:szCs w:val="32"/>
          <w:lang w:val="en-US" w:eastAsia="zh-CN"/>
        </w:rPr>
        <w:t xml:space="preserve">3.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经费投入：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实践教学专项经费占教学总经费比例、经费使用效益评估机制。</w:t>
      </w:r>
    </w:p>
    <w:p w14:paraId="6E5340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（四）实践教学效果评价（权重25%）</w:t>
      </w:r>
    </w:p>
    <w:p w14:paraId="68805A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cs="Times New Roman"/>
          <w:b/>
          <w:bCs/>
          <w:sz w:val="32"/>
          <w:szCs w:val="32"/>
          <w:lang w:val="en-US" w:eastAsia="zh-CN"/>
        </w:rPr>
        <w:t xml:space="preserve">1.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学生能力提升：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用人单位对毕业生能力的满意度</w:t>
      </w:r>
      <w:r>
        <w:rPr>
          <w:rFonts w:hint="eastAsia" w:cs="Times New Roman"/>
          <w:sz w:val="32"/>
          <w:szCs w:val="32"/>
          <w:lang w:eastAsia="zh-CN"/>
        </w:rPr>
        <w:t>（</w:t>
      </w:r>
      <w:r>
        <w:rPr>
          <w:rFonts w:hint="eastAsia" w:cs="Times New Roman"/>
          <w:sz w:val="32"/>
          <w:szCs w:val="32"/>
          <w:lang w:val="en-US" w:eastAsia="zh-CN"/>
        </w:rPr>
        <w:t>可参考附件3</w:t>
      </w:r>
      <w:r>
        <w:rPr>
          <w:rFonts w:hint="eastAsia" w:cs="Times New Roman"/>
          <w:sz w:val="32"/>
          <w:szCs w:val="32"/>
          <w:lang w:eastAsia="zh-CN"/>
        </w:rPr>
        <w:t>）、毕业生就业岗位与专业相关度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；</w:t>
      </w:r>
    </w:p>
    <w:p w14:paraId="37CA1B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cs="Times New Roman"/>
          <w:b/>
          <w:bCs/>
          <w:sz w:val="32"/>
          <w:szCs w:val="32"/>
          <w:lang w:val="en-US" w:eastAsia="zh-CN"/>
        </w:rPr>
        <w:t xml:space="preserve">2.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成果产出：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学生年度发表论文/专利数量、学生获省级及以上奖励数量；</w:t>
      </w:r>
    </w:p>
    <w:p w14:paraId="4976C6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cs="Times New Roman"/>
          <w:b/>
          <w:bCs/>
          <w:sz w:val="32"/>
          <w:szCs w:val="32"/>
          <w:lang w:val="en-US" w:eastAsia="zh-CN"/>
        </w:rPr>
        <w:t xml:space="preserve">3.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社会影响：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实践基地续约率、媒体报道实践教学典型案例次数</w:t>
      </w:r>
      <w:r>
        <w:rPr>
          <w:rFonts w:hint="eastAsia" w:cs="Times New Roman"/>
          <w:sz w:val="32"/>
          <w:szCs w:val="32"/>
          <w:lang w:eastAsia="zh-CN"/>
        </w:rPr>
        <w:t>、校企合作成果转化或社会服务项目数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 w14:paraId="761ACD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五、检查方式与实施步骤</w:t>
      </w:r>
    </w:p>
    <w:p w14:paraId="7D3BBB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采用“学院自查+学校督查+师生访谈”三维联动模式，分阶段推进：</w:t>
      </w:r>
    </w:p>
    <w:p w14:paraId="779177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（一）准备阶段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highlight w:val="none"/>
        </w:rPr>
        <w:t>（2025年12月15日—12月21日）</w:t>
      </w:r>
    </w:p>
    <w:p w14:paraId="22B35F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成立专项工作组：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分管副校长任组长，教务处处长任副组长，成员包括教务处、学生工作部、实验室与设备管理处、评估中心负责人及校内督导；</w:t>
      </w:r>
    </w:p>
    <w:p w14:paraId="566EE9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发布检查通知：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明确检查范围、内容、时间安排及材料提交要求；</w:t>
      </w:r>
    </w:p>
    <w:p w14:paraId="78639C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（二）学院自查阶段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highlight w:val="none"/>
        </w:rPr>
        <w:t>（2025年12月22日—12月31日）</w:t>
      </w:r>
    </w:p>
    <w:p w14:paraId="2070D0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各学院对照《指标体系》完成自查，形成《XX学院实践教学自查报告》（含数据台账、问题清单、整改措施）；</w:t>
      </w:r>
    </w:p>
    <w:p w14:paraId="1ABC16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师生座谈：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每学院召开学生座谈会（覆盖不同年级、成绩层次）与教师座谈会（含理论课教师、实验员、企业导师），收集对实践教学的意见建议（形成《师生访谈纪要》）。</w:t>
      </w:r>
    </w:p>
    <w:p w14:paraId="22F124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提交材料：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①实践教学管理制度汇编；②近两学期实践教学运行数据表（实验/实习/课程设计、学生发表论文专利清单、学生获奖情况清单等）；③典型实践教学活动案例（附照片/视频）。</w:t>
      </w:r>
    </w:p>
    <w:p w14:paraId="18069E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（三）学校督查阶段（2026年1月5日</w:t>
      </w:r>
      <w:r>
        <w:rPr>
          <w:rFonts w:hint="eastAsia" w:eastAsia="楷体_GB2312" w:cs="Times New Roman"/>
          <w:b/>
          <w:bCs/>
          <w:sz w:val="32"/>
          <w:szCs w:val="32"/>
          <w:lang w:eastAsia="zh-CN"/>
        </w:rPr>
        <w:t>—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1月1</w:t>
      </w:r>
      <w:r>
        <w:rPr>
          <w:rFonts w:hint="eastAsia" w:eastAsia="楷体_GB2312" w:cs="Times New Roman"/>
          <w:b/>
          <w:bCs/>
          <w:sz w:val="32"/>
          <w:szCs w:val="32"/>
          <w:lang w:val="en-US" w:eastAsia="zh-CN"/>
        </w:rPr>
        <w:t>8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日）</w:t>
      </w:r>
    </w:p>
    <w:p w14:paraId="50F2FD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材料审核：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工作组对各学院提交材料进行交叉互审，筛选“亮点学院”（前20%）与“重点核查学院”（后10%）；</w:t>
      </w:r>
    </w:p>
    <w:p w14:paraId="088757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常规走访：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覆盖所有学院，通过听汇报（学院教学副院长）、查资料（实验室记录、实习协议、成绩档案）、看现场（实验室设备状态、实习基地环境）开展；</w:t>
      </w:r>
    </w:p>
    <w:p w14:paraId="4B3B63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重点核查：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对“重点核查学院”增加“四不两直”抽查，随机选取2-3门实践课程跟班听课，访谈5-8名学生及指导教师；</w:t>
      </w:r>
    </w:p>
    <w:p w14:paraId="401D0B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（四）评议反馈阶段（2026年1月1</w:t>
      </w:r>
      <w:r>
        <w:rPr>
          <w:rFonts w:hint="eastAsia" w:eastAsia="楷体_GB2312" w:cs="Times New Roman"/>
          <w:b/>
          <w:bCs/>
          <w:sz w:val="32"/>
          <w:szCs w:val="32"/>
          <w:lang w:val="en-US" w:eastAsia="zh-CN"/>
        </w:rPr>
        <w:t>9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日</w:t>
      </w:r>
      <w:r>
        <w:rPr>
          <w:rFonts w:hint="eastAsia" w:eastAsia="楷体_GB2312" w:cs="Times New Roman"/>
          <w:b/>
          <w:bCs/>
          <w:sz w:val="32"/>
          <w:szCs w:val="32"/>
          <w:lang w:eastAsia="zh-CN"/>
        </w:rPr>
        <w:t>—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1月</w:t>
      </w:r>
      <w:r>
        <w:rPr>
          <w:rFonts w:hint="eastAsia" w:eastAsia="楷体_GB2312" w:cs="Times New Roman"/>
          <w:b/>
          <w:bCs/>
          <w:sz w:val="32"/>
          <w:szCs w:val="32"/>
          <w:lang w:val="en-US" w:eastAsia="zh-CN"/>
        </w:rPr>
        <w:t>25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日）</w:t>
      </w:r>
    </w:p>
    <w:p w14:paraId="356197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数据汇总：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工作组统计各学院得分，形成《实践教学专项检查得分表》；</w:t>
      </w:r>
    </w:p>
    <w:p w14:paraId="7C0CDB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问题分析：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工作组召开论证会，归纳共性问题；</w:t>
      </w:r>
    </w:p>
    <w:p w14:paraId="14499C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形成报告：撰写《湖州学院2025年度实践教学专项检查总报告》，附“优秀案例集”“问题整改任务清单”。</w:t>
      </w:r>
    </w:p>
    <w:p w14:paraId="1A3726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结果反馈：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召开全校实践教学工作会议，通报检查结果，约谈“重点核查学院”负责人；</w:t>
      </w:r>
    </w:p>
    <w:p w14:paraId="66F8D5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（五）整改提升阶段（2026年1月</w:t>
      </w:r>
      <w:r>
        <w:rPr>
          <w:rFonts w:hint="eastAsia" w:eastAsia="楷体_GB2312" w:cs="Times New Roman"/>
          <w:b/>
          <w:bCs/>
          <w:sz w:val="32"/>
          <w:szCs w:val="32"/>
          <w:lang w:val="en-US" w:eastAsia="zh-CN"/>
        </w:rPr>
        <w:t>26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日</w:t>
      </w:r>
      <w:r>
        <w:rPr>
          <w:rFonts w:hint="eastAsia" w:eastAsia="楷体_GB2312" w:cs="Times New Roman"/>
          <w:b/>
          <w:bCs/>
          <w:sz w:val="32"/>
          <w:szCs w:val="32"/>
          <w:lang w:eastAsia="zh-CN"/>
        </w:rPr>
        <w:t>—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2026年6月31日）</w:t>
      </w:r>
    </w:p>
    <w:p w14:paraId="5C2B2C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整改落实：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各学院制定《整改方案》（明确责任人和完成时限），2026年6月底前提交整改验收申请；</w:t>
      </w:r>
    </w:p>
    <w:p w14:paraId="7F4A04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复查验收：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工作组对整改情况进行“回头看”，未达标项目限期二次整改，结果与学院年度绩效考核挂钩。</w:t>
      </w:r>
    </w:p>
    <w:p w14:paraId="3314BEB2">
      <w:pPr>
        <w:rPr>
          <w:rFonts w:hint="default" w:ascii="Times New Roman" w:hAnsi="Times New Roman" w:cs="Times New Roman"/>
        </w:rPr>
      </w:pPr>
    </w:p>
    <w:p w14:paraId="6232FBCA">
      <w:pPr>
        <w:rPr>
          <w:rFonts w:hint="default" w:ascii="Times New Roman" w:hAnsi="Times New Roman" w:cs="Times New Roman"/>
        </w:rPr>
      </w:pPr>
      <w:bookmarkStart w:id="0" w:name="_GoBack"/>
      <w:bookmarkEnd w:id="0"/>
    </w:p>
    <w:p w14:paraId="64403C91">
      <w:pPr>
        <w:rPr>
          <w:rFonts w:hint="default" w:ascii="Times New Roman" w:hAnsi="Times New Roman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ABB"/>
    <w:rsid w:val="000876AA"/>
    <w:rsid w:val="000B4ABB"/>
    <w:rsid w:val="002966AB"/>
    <w:rsid w:val="002C557A"/>
    <w:rsid w:val="00312530"/>
    <w:rsid w:val="003B1AAD"/>
    <w:rsid w:val="003B536A"/>
    <w:rsid w:val="00640CC7"/>
    <w:rsid w:val="0077760C"/>
    <w:rsid w:val="00885C38"/>
    <w:rsid w:val="00890B20"/>
    <w:rsid w:val="00A6436F"/>
    <w:rsid w:val="00A92F31"/>
    <w:rsid w:val="00A93441"/>
    <w:rsid w:val="00AB342B"/>
    <w:rsid w:val="00AB76EC"/>
    <w:rsid w:val="00AE5E19"/>
    <w:rsid w:val="00B24D14"/>
    <w:rsid w:val="00B437F9"/>
    <w:rsid w:val="00B67236"/>
    <w:rsid w:val="00C15672"/>
    <w:rsid w:val="00D1058A"/>
    <w:rsid w:val="00D157C4"/>
    <w:rsid w:val="00E25F10"/>
    <w:rsid w:val="00F25E29"/>
    <w:rsid w:val="00F721FE"/>
    <w:rsid w:val="00F8149C"/>
    <w:rsid w:val="0A6223B0"/>
    <w:rsid w:val="0C320C7E"/>
    <w:rsid w:val="16900870"/>
    <w:rsid w:val="505D2E86"/>
    <w:rsid w:val="55435145"/>
    <w:rsid w:val="69F82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仿宋_GB2312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theme="minorBidi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asciiTheme="minorHAnsi" w:hAnsiTheme="minorHAnsi" w:eastAsiaTheme="minorEastAsia"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asciiTheme="minorHAnsi" w:hAnsiTheme="minorHAnsi" w:eastAsiaTheme="minorEastAsia" w:cstheme="majorBidi"/>
      <w:color w:val="2F5597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asciiTheme="minorHAnsi" w:hAnsiTheme="minorHAnsi" w:eastAsiaTheme="minorEastAsia"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asciiTheme="minorHAnsi" w:hAnsiTheme="minorHAnsi" w:eastAsiaTheme="minorEastAsia"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asciiTheme="minorHAnsi" w:hAnsiTheme="minorHAnsi" w:eastAsiaTheme="min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asciiTheme="minorHAnsi" w:hAnsiTheme="minorHAnsi"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asciiTheme="minorHAnsi" w:hAnsiTheme="minorHAnsi" w:eastAsiaTheme="minorEastAsia"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asciiTheme="minorHAnsi" w:hAnsiTheme="minorHAnsi" w:eastAsiaTheme="minorEastAsia" w:cstheme="majorBidi"/>
      <w:color w:val="2F5597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asciiTheme="minorHAnsi" w:hAnsiTheme="minorHAnsi" w:eastAsiaTheme="minorEastAsia"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asciiTheme="minorHAnsi" w:hAnsiTheme="minorHAnsi" w:eastAsiaTheme="minorEastAsia"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asciiTheme="minorHAnsi" w:hAnsiTheme="minorHAnsi" w:eastAsiaTheme="min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asciiTheme="minorHAnsi" w:hAnsiTheme="minorHAnsi"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2070</Words>
  <Characters>2160</Characters>
  <Lines>15</Lines>
  <Paragraphs>4</Paragraphs>
  <TotalTime>0</TotalTime>
  <ScaleCrop>false</ScaleCrop>
  <LinksUpToDate>false</LinksUpToDate>
  <CharactersWithSpaces>2173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2025-11-26T00:43:00Z</dcterms:created>
  <dc:creator>Arince Wang</dc:creator>
  <cp:lastModifiedBy>SKY</cp:lastModifiedBy>
  <dcterms:modified xsi:type="dcterms:W3CDTF">2025-12-23T06:30:52Z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eyJoZGlkIjoiMTc0OWUzYjQ5NWMyNWI0NDExZjZkYjVmZjIxM2FiOTkiLCJ1c2VySWQiOiIyMTA2MjU5ODkifQ==</vt:lpwstr>
  </property>
  <property fmtid="{D5CDD505-2E9C-101B-9397-08002B2CF9AE}" pid="3" name="KSOProductBuildVer">
    <vt:lpwstr>2052-12.1.0.22529</vt:lpwstr>
  </property>
  <property fmtid="{D5CDD505-2E9C-101B-9397-08002B2CF9AE}" pid="4" name="ICV">
    <vt:lpwstr>B1B8F0467B6A49609155235C9243D9A6_12</vt:lpwstr>
  </property>
</Properties>
</file>