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AD357">
      <w:pPr>
        <w:adjustRightInd w:val="0"/>
        <w:snapToGrid w:val="0"/>
        <w:spacing w:line="700" w:lineRule="exact"/>
        <w:jc w:val="center"/>
        <w:outlineLvl w:val="0"/>
        <w:rPr>
          <w:rFonts w:hint="eastAsia" w:eastAsia="方正小标宋简体"/>
          <w:b/>
          <w:sz w:val="44"/>
          <w:szCs w:val="44"/>
        </w:rPr>
      </w:pPr>
      <w:bookmarkStart w:id="1" w:name="_GoBack"/>
      <w:bookmarkEnd w:id="1"/>
      <w:r>
        <w:rPr>
          <w:rFonts w:hint="eastAsia" w:eastAsia="方正小标宋简体"/>
          <w:b/>
          <w:sz w:val="44"/>
          <w:szCs w:val="44"/>
        </w:rPr>
        <w:t>湖州学院学生</w:t>
      </w:r>
      <w:bookmarkStart w:id="0" w:name="_Hlk7527779"/>
      <w:r>
        <w:rPr>
          <w:rFonts w:hint="eastAsia" w:eastAsia="方正小标宋简体"/>
          <w:b/>
          <w:sz w:val="44"/>
          <w:szCs w:val="44"/>
        </w:rPr>
        <w:t>课外学分管理办法</w:t>
      </w:r>
      <w:bookmarkEnd w:id="0"/>
    </w:p>
    <w:p w14:paraId="644F3148">
      <w:pPr>
        <w:adjustRightInd w:val="0"/>
        <w:snapToGrid w:val="0"/>
        <w:spacing w:line="360" w:lineRule="auto"/>
        <w:jc w:val="center"/>
        <w:outlineLvl w:val="0"/>
        <w:rPr>
          <w:rFonts w:eastAsia="黑体"/>
          <w:kern w:val="0"/>
          <w:sz w:val="24"/>
          <w:szCs w:val="20"/>
        </w:rPr>
      </w:pPr>
    </w:p>
    <w:p w14:paraId="73378D48">
      <w:pPr>
        <w:adjustRightInd w:val="0"/>
        <w:snapToGrid w:val="0"/>
        <w:spacing w:line="600" w:lineRule="exact"/>
        <w:jc w:val="center"/>
        <w:outlineLvl w:val="0"/>
        <w:rPr>
          <w:rFonts w:eastAsia="黑体"/>
          <w:b/>
          <w:kern w:val="0"/>
          <w:sz w:val="32"/>
          <w:szCs w:val="32"/>
        </w:rPr>
      </w:pPr>
      <w:r>
        <w:rPr>
          <w:rFonts w:hint="eastAsia" w:eastAsia="黑体"/>
          <w:b/>
          <w:kern w:val="0"/>
          <w:sz w:val="32"/>
          <w:szCs w:val="32"/>
        </w:rPr>
        <w:t>第一章</w:t>
      </w:r>
      <w:r>
        <w:rPr>
          <w:rFonts w:eastAsia="黑体"/>
          <w:b/>
          <w:kern w:val="0"/>
          <w:sz w:val="32"/>
          <w:szCs w:val="32"/>
        </w:rPr>
        <w:t xml:space="preserve">  </w:t>
      </w:r>
      <w:r>
        <w:rPr>
          <w:rFonts w:hint="eastAsia" w:eastAsia="黑体"/>
          <w:b/>
          <w:kern w:val="0"/>
          <w:sz w:val="32"/>
          <w:szCs w:val="32"/>
        </w:rPr>
        <w:t>总</w:t>
      </w:r>
      <w:r>
        <w:rPr>
          <w:rFonts w:eastAsia="黑体"/>
          <w:b/>
          <w:kern w:val="0"/>
          <w:sz w:val="32"/>
          <w:szCs w:val="32"/>
        </w:rPr>
        <w:t xml:space="preserve">  </w:t>
      </w:r>
      <w:r>
        <w:rPr>
          <w:rFonts w:hint="eastAsia" w:eastAsia="黑体"/>
          <w:b/>
          <w:kern w:val="0"/>
          <w:sz w:val="32"/>
          <w:szCs w:val="32"/>
        </w:rPr>
        <w:t>则</w:t>
      </w:r>
    </w:p>
    <w:p w14:paraId="6BDA10B0">
      <w:pPr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第一条</w:t>
      </w:r>
      <w:r>
        <w:rPr>
          <w:rFonts w:eastAsia="仿宋_GB2312"/>
          <w:b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为培养学生创新创业和实践能力，提高学生综合素质，促进学生全面发展，鼓励和倡导学生积极参与学科竞赛、科技、文化、社团及社会实践活动，逐步把第二课堂活动内容纳入人才培养体系，特制定本办法。</w:t>
      </w:r>
    </w:p>
    <w:p w14:paraId="74709232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第二条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课外学分是指全日制学生在校期间，参加课外活动并获得成果者，按规定获得的学分。</w:t>
      </w:r>
    </w:p>
    <w:p w14:paraId="551B2AC8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第三条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>学校全日制本科学生，在校期间必须取得培养方案规定的课外学分方可毕业。转入本校其他专业学习的学生，转专业前获得的课外学分可累计到转入专业。</w:t>
      </w:r>
      <w:r>
        <w:rPr>
          <w:rFonts w:eastAsia="仿宋_GB2312"/>
          <w:kern w:val="0"/>
          <w:sz w:val="32"/>
          <w:szCs w:val="32"/>
        </w:rPr>
        <w:t xml:space="preserve"> </w:t>
      </w:r>
    </w:p>
    <w:p w14:paraId="1C0C743A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第四条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学生在</w:t>
      </w:r>
      <w:r>
        <w:rPr>
          <w:rFonts w:hint="eastAsia" w:eastAsia="仿宋_GB2312"/>
          <w:sz w:val="32"/>
          <w:szCs w:val="32"/>
        </w:rPr>
        <w:t>校</w:t>
      </w:r>
      <w:r>
        <w:rPr>
          <w:rFonts w:hint="eastAsia" w:eastAsia="仿宋_GB2312"/>
          <w:kern w:val="0"/>
          <w:sz w:val="32"/>
          <w:szCs w:val="32"/>
        </w:rPr>
        <w:t>学习期间，同一项目只记最高学分分值，得分不累加；集体项目与个人项目有重复的，以最高分计，不重复计算。</w:t>
      </w:r>
    </w:p>
    <w:p w14:paraId="441CB955">
      <w:pPr>
        <w:widowControl/>
        <w:adjustRightInd w:val="0"/>
        <w:snapToGrid w:val="0"/>
        <w:spacing w:line="600" w:lineRule="exact"/>
        <w:ind w:firstLine="643" w:firstLineChars="200"/>
        <w:rPr>
          <w:rFonts w:hint="eastAsia" w:eastAsia="仿宋_GB2312"/>
          <w:dstrike/>
          <w:kern w:val="0"/>
          <w:sz w:val="32"/>
          <w:szCs w:val="32"/>
          <w:highlight w:val="yellow"/>
        </w:rPr>
      </w:pPr>
      <w:r>
        <w:rPr>
          <w:rFonts w:hint="eastAsia" w:eastAsia="仿宋_GB2312"/>
          <w:b/>
          <w:kern w:val="0"/>
          <w:sz w:val="32"/>
          <w:szCs w:val="32"/>
        </w:rPr>
        <w:t>第五条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课外学分由各二级学院认定，审核由教务处协同各相关部门进行，最终由教务处审定、公示。</w:t>
      </w:r>
    </w:p>
    <w:p w14:paraId="6A8E8681">
      <w:pPr>
        <w:widowControl/>
        <w:adjustRightInd w:val="0"/>
        <w:snapToGrid w:val="0"/>
        <w:spacing w:line="600" w:lineRule="exact"/>
        <w:jc w:val="center"/>
        <w:outlineLvl w:val="1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第二章</w:t>
      </w:r>
      <w:r>
        <w:rPr>
          <w:rFonts w:eastAsia="黑体"/>
          <w:kern w:val="0"/>
          <w:sz w:val="32"/>
          <w:szCs w:val="32"/>
        </w:rPr>
        <w:t xml:space="preserve">  </w:t>
      </w:r>
      <w:r>
        <w:rPr>
          <w:rFonts w:hint="eastAsia" w:eastAsia="黑体"/>
          <w:kern w:val="0"/>
          <w:sz w:val="32"/>
          <w:szCs w:val="32"/>
        </w:rPr>
        <w:t>课外学分项目与认定标准</w:t>
      </w:r>
    </w:p>
    <w:p w14:paraId="76B55B1D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第六条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学生参加下述各类活动，并获得相应成绩，经相关部门认定和审核后可以获得课外学分：</w:t>
      </w:r>
    </w:p>
    <w:p w14:paraId="5358974D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（一）参加社会实践活动，取得成效；</w:t>
      </w:r>
    </w:p>
    <w:p w14:paraId="539D18BB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（二）参加各类学术、训练活动，取得成绩；</w:t>
      </w:r>
    </w:p>
    <w:p w14:paraId="45B4CFF0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（三）获得各种职业证书、等级证书；</w:t>
      </w:r>
      <w:r>
        <w:rPr>
          <w:rFonts w:eastAsia="仿宋_GB2312"/>
          <w:kern w:val="0"/>
          <w:sz w:val="32"/>
          <w:szCs w:val="32"/>
        </w:rPr>
        <w:t xml:space="preserve"> </w:t>
      </w:r>
    </w:p>
    <w:p w14:paraId="266F5E97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（四）参加各类学科竞赛、文化、艺术、体育竞赛项目，获得奖项；</w:t>
      </w:r>
    </w:p>
    <w:p w14:paraId="4B92B9BB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（五）完成的论文、作品、专利等科研成果；</w:t>
      </w:r>
    </w:p>
    <w:p w14:paraId="5188CA87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（六）完成各类科研项目或科研获奖；</w:t>
      </w:r>
    </w:p>
    <w:p w14:paraId="016ED7D4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（七）其它经二级学院申请学校认定的课外活动或项目，获得学分上限为</w:t>
      </w:r>
      <w:r>
        <w:rPr>
          <w:rFonts w:eastAsia="仿宋_GB2312"/>
          <w:kern w:val="0"/>
          <w:sz w:val="32"/>
          <w:szCs w:val="32"/>
        </w:rPr>
        <w:t>2</w:t>
      </w:r>
      <w:r>
        <w:rPr>
          <w:rFonts w:hint="eastAsia" w:eastAsia="仿宋_GB2312"/>
          <w:kern w:val="0"/>
          <w:sz w:val="32"/>
          <w:szCs w:val="32"/>
        </w:rPr>
        <w:t>学分。</w:t>
      </w:r>
    </w:p>
    <w:p w14:paraId="6875A512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第七条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课外学分计分方法详见《湖州学院学生课外学分认定标准》。</w:t>
      </w:r>
    </w:p>
    <w:p w14:paraId="20EB1F94">
      <w:pPr>
        <w:widowControl/>
        <w:adjustRightInd w:val="0"/>
        <w:snapToGrid w:val="0"/>
        <w:spacing w:line="600" w:lineRule="exact"/>
        <w:jc w:val="center"/>
        <w:outlineLvl w:val="1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第三章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</w:rPr>
        <w:t>课外学分认定程序与管理</w:t>
      </w:r>
    </w:p>
    <w:p w14:paraId="7F312F58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第八条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课外学分按以下程序认定：</w:t>
      </w:r>
    </w:p>
    <w:p w14:paraId="65CF768B"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（一）各类课外活动结束后，由活动组织部门向学生（或学生所在二级学院）提供证明材料，也可依据课外学分认定标准，对学分作初步认定；</w:t>
      </w:r>
    </w:p>
    <w:p w14:paraId="7F3817E4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（二）指导教师、二级学院管理人员、辅导员等根据学生递交的证明材料，依据课外学分认定标准进行初步认定；</w:t>
      </w:r>
    </w:p>
    <w:p w14:paraId="5D11A1D8"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（三）专业负责人复核；</w:t>
      </w:r>
    </w:p>
    <w:p w14:paraId="47D3A8BF"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（四）学生所在二级学院认定；</w:t>
      </w:r>
    </w:p>
    <w:p w14:paraId="396EF174">
      <w:pPr>
        <w:widowControl/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（五）相关职能部门审核；</w:t>
      </w:r>
    </w:p>
    <w:p w14:paraId="2F46E8FD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（六）二级学院负责汇总、归档等相应的管理工作。</w:t>
      </w:r>
    </w:p>
    <w:p w14:paraId="4567847F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第九条</w:t>
      </w:r>
      <w:r>
        <w:rPr>
          <w:rFonts w:eastAsia="仿宋_GB2312"/>
          <w:kern w:val="0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管理与监督</w:t>
      </w:r>
    </w:p>
    <w:p w14:paraId="78B2C0F9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（一）二级学院每学期对学生课外学分情况进行分析，必要时启动预警机制；对课外学分未达毕业规定学分而未能毕业的学生，二级学院协助学生做好补修计划。</w:t>
      </w:r>
    </w:p>
    <w:p w14:paraId="5F8FBBFA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（二）教务处对课外学分的复核、认定、审核等情况进行监督检查，并于每年</w:t>
      </w:r>
      <w:r>
        <w:rPr>
          <w:rFonts w:eastAsia="仿宋_GB2312"/>
          <w:kern w:val="0"/>
          <w:sz w:val="32"/>
          <w:szCs w:val="32"/>
        </w:rPr>
        <w:t>5</w:t>
      </w:r>
      <w:r>
        <w:rPr>
          <w:rFonts w:hint="eastAsia" w:eastAsia="仿宋_GB2312"/>
          <w:kern w:val="0"/>
          <w:sz w:val="32"/>
          <w:szCs w:val="32"/>
        </w:rPr>
        <w:t>月份进行课外学分公示。公示期内，有异议者，可向二级学院提出申述或向教务处举报。凡发现弄虚作假者，取消其相应学分，并追究责任。</w:t>
      </w:r>
    </w:p>
    <w:p w14:paraId="7D6DBC95">
      <w:pPr>
        <w:widowControl/>
        <w:adjustRightInd w:val="0"/>
        <w:snapToGrid w:val="0"/>
        <w:spacing w:line="600" w:lineRule="exact"/>
        <w:jc w:val="center"/>
        <w:outlineLvl w:val="1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第四章</w:t>
      </w:r>
      <w:r>
        <w:rPr>
          <w:rFonts w:eastAsia="黑体"/>
          <w:kern w:val="0"/>
          <w:sz w:val="32"/>
          <w:szCs w:val="32"/>
        </w:rPr>
        <w:t xml:space="preserve">  </w:t>
      </w:r>
      <w:r>
        <w:rPr>
          <w:rFonts w:hint="eastAsia" w:eastAsia="黑体"/>
          <w:kern w:val="0"/>
          <w:sz w:val="32"/>
          <w:szCs w:val="32"/>
        </w:rPr>
        <w:t>附</w:t>
      </w:r>
      <w:r>
        <w:rPr>
          <w:rFonts w:eastAsia="黑体"/>
          <w:kern w:val="0"/>
          <w:sz w:val="32"/>
          <w:szCs w:val="32"/>
        </w:rPr>
        <w:t xml:space="preserve">  </w:t>
      </w:r>
      <w:r>
        <w:rPr>
          <w:rFonts w:hint="eastAsia" w:eastAsia="黑体"/>
          <w:kern w:val="0"/>
          <w:sz w:val="32"/>
          <w:szCs w:val="32"/>
        </w:rPr>
        <w:t>则</w:t>
      </w:r>
    </w:p>
    <w:p w14:paraId="2CEA004C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第十条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eastAsia="仿宋_GB2312"/>
          <w:kern w:val="0"/>
          <w:sz w:val="32"/>
          <w:szCs w:val="32"/>
        </w:rPr>
        <w:t>本办法尚未包括的其他活动，符合本办法精神的，由活动组织单位申请，经教务处认定后，可纳入本办法执行。</w:t>
      </w:r>
    </w:p>
    <w:p w14:paraId="4E5E85E8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bCs/>
          <w:kern w:val="0"/>
          <w:sz w:val="32"/>
          <w:szCs w:val="32"/>
        </w:rPr>
        <w:t>第十一条</w:t>
      </w:r>
      <w:r>
        <w:rPr>
          <w:rFonts w:eastAsia="仿宋_GB2312"/>
          <w:kern w:val="0"/>
          <w:sz w:val="32"/>
          <w:szCs w:val="32"/>
        </w:rPr>
        <w:t xml:space="preserve"> </w:t>
      </w:r>
      <w:r>
        <w:rPr>
          <w:rFonts w:hint="eastAsia" w:eastAsia="仿宋_GB2312"/>
          <w:kern w:val="0"/>
          <w:sz w:val="32"/>
          <w:szCs w:val="32"/>
        </w:rPr>
        <w:t>本办法执行过程中遇到特殊事宜的认定，由二级学院申请，经教务处认定。</w:t>
      </w:r>
    </w:p>
    <w:p w14:paraId="47AA3CCE">
      <w:pPr>
        <w:widowControl/>
        <w:adjustRightInd w:val="0"/>
        <w:snapToGrid w:val="0"/>
        <w:spacing w:line="60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b/>
          <w:kern w:val="0"/>
          <w:sz w:val="32"/>
          <w:szCs w:val="32"/>
        </w:rPr>
        <w:t>第十二条</w:t>
      </w: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华文楷体" w:eastAsia="仿宋_GB2312" w:cs="仿宋_GB2312"/>
          <w:sz w:val="32"/>
          <w:szCs w:val="32"/>
        </w:rPr>
        <w:t>本办法自2021年9月1日起施行，由教务处负责解释。</w:t>
      </w:r>
    </w:p>
    <w:p w14:paraId="0D394FF1">
      <w:pPr>
        <w:widowControl/>
        <w:adjustRightInd w:val="0"/>
        <w:snapToGrid w:val="0"/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</w:p>
    <w:p w14:paraId="322C068B">
      <w:pPr>
        <w:spacing w:line="600" w:lineRule="exact"/>
        <w:rPr>
          <w:szCs w:val="20"/>
        </w:rPr>
      </w:pPr>
    </w:p>
    <w:p w14:paraId="1B8CDB64">
      <w:pPr>
        <w:widowControl/>
        <w:rPr>
          <w:rFonts w:hint="eastAsia" w:eastAsia="方正小标宋简体"/>
          <w:b/>
          <w:bCs/>
          <w:kern w:val="0"/>
          <w:sz w:val="28"/>
          <w:szCs w:val="28"/>
        </w:rPr>
      </w:pPr>
      <w:r>
        <w:rPr>
          <w:rFonts w:hint="eastAsia" w:eastAsia="黑体"/>
          <w:bCs/>
          <w:kern w:val="0"/>
          <w:sz w:val="24"/>
          <w:szCs w:val="20"/>
        </w:rPr>
        <w:br w:type="page"/>
      </w:r>
      <w:r>
        <w:rPr>
          <w:rFonts w:hint="eastAsia" w:eastAsia="黑体"/>
          <w:bCs/>
          <w:kern w:val="0"/>
          <w:sz w:val="24"/>
          <w:szCs w:val="20"/>
        </w:rPr>
        <w:t>附件</w:t>
      </w:r>
      <w:r>
        <w:rPr>
          <w:rFonts w:eastAsia="黑体"/>
          <w:bCs/>
          <w:kern w:val="0"/>
          <w:sz w:val="24"/>
          <w:szCs w:val="20"/>
        </w:rPr>
        <w:t>1</w:t>
      </w:r>
      <w:r>
        <w:rPr>
          <w:rFonts w:hint="eastAsia" w:eastAsia="黑体"/>
          <w:bCs/>
          <w:kern w:val="0"/>
          <w:sz w:val="24"/>
          <w:szCs w:val="20"/>
        </w:rPr>
        <w:t>：</w:t>
      </w:r>
      <w:r>
        <w:rPr>
          <w:rFonts w:eastAsia="黑体"/>
          <w:bCs/>
          <w:kern w:val="0"/>
          <w:sz w:val="24"/>
          <w:szCs w:val="20"/>
        </w:rPr>
        <w:t xml:space="preserve"> </w:t>
      </w:r>
      <w:r>
        <w:rPr>
          <w:b/>
          <w:bCs/>
          <w:kern w:val="0"/>
          <w:sz w:val="20"/>
          <w:szCs w:val="20"/>
        </w:rPr>
        <w:t xml:space="preserve">           </w:t>
      </w:r>
      <w:r>
        <w:rPr>
          <w:rFonts w:hint="eastAsia" w:eastAsia="方正小标宋简体"/>
          <w:b/>
          <w:bCs/>
          <w:kern w:val="0"/>
          <w:sz w:val="28"/>
          <w:szCs w:val="28"/>
        </w:rPr>
        <w:t xml:space="preserve">  湖州学院学生课外学分认定标准</w:t>
      </w:r>
    </w:p>
    <w:tbl>
      <w:tblPr>
        <w:tblStyle w:val="6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741"/>
        <w:gridCol w:w="4855"/>
        <w:gridCol w:w="964"/>
        <w:gridCol w:w="1283"/>
      </w:tblGrid>
      <w:tr w14:paraId="4F291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 w14:paraId="0ACF2E0F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项目</w:t>
            </w:r>
          </w:p>
        </w:tc>
        <w:tc>
          <w:tcPr>
            <w:tcW w:w="6596" w:type="dxa"/>
            <w:gridSpan w:val="2"/>
            <w:tcBorders>
              <w:tl2br w:val="nil"/>
              <w:tr2bl w:val="nil"/>
            </w:tcBorders>
            <w:vAlign w:val="center"/>
          </w:tcPr>
          <w:p w14:paraId="5F60C64E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考核内容及标准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0994D62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学分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F2D96B1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14:paraId="18090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3B99466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社会实践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5E3D6C4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寒暑假社会实践、志愿者活动、社团活动等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6131FD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参加各类实践、志愿者活动，达到规定时间，完成相应任务，通过成效认定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F6D32D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B59A0E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上限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74345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0F0BC0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336284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240A63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学分制社团成员，且考核合格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1C0383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vMerge w:val="restart"/>
            <w:tcBorders>
              <w:tl2br w:val="nil"/>
              <w:tr2bl w:val="nil"/>
            </w:tcBorders>
            <w:vAlign w:val="center"/>
          </w:tcPr>
          <w:p w14:paraId="6A348F6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合计上限</w:t>
            </w: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242EE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8C6C94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B6FC5F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</w:tcPr>
          <w:p w14:paraId="0A903D0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获二级学院表彰者</w:t>
            </w:r>
          </w:p>
        </w:tc>
        <w:tc>
          <w:tcPr>
            <w:tcW w:w="964" w:type="dxa"/>
            <w:tcBorders>
              <w:tl2br w:val="nil"/>
              <w:tr2bl w:val="nil"/>
            </w:tcBorders>
          </w:tcPr>
          <w:p w14:paraId="674AC9C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szCs w:val="20"/>
              </w:rPr>
              <w:t>0.5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5DEAB6D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117FB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325C01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26D27D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73B133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获市校级表彰者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CD0D80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350D004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0B72D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D342BA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9D77FC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34A6CC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获省级及以上表彰者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180ABF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4A409EA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7397C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627056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67A3C13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创业项目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7DDF81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入驻创业园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年且考核合格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F9093A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266919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4834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08B378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5CFD138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B96F07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工商注册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65A508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2FFEB8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43D69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CF3757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4FC8D9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62250F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工商注册并获得创业基金资助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B2EBE0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F4334C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475C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D53B4E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2145B9B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团学干部、班干部、公寓干部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7552E1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获二级学院级表彰者（每年）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283D67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vMerge w:val="restart"/>
            <w:tcBorders>
              <w:tl2br w:val="nil"/>
              <w:tr2bl w:val="nil"/>
            </w:tcBorders>
            <w:vAlign w:val="center"/>
          </w:tcPr>
          <w:p w14:paraId="3590EC6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合计上限</w:t>
            </w: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5CFE0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5D4849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48B2CE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85E8ED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</w:t>
            </w:r>
            <w:r>
              <w:rPr>
                <w:rFonts w:hint="eastAsia" w:eastAsia="仿宋_GB2312"/>
                <w:bCs/>
                <w:kern w:val="0"/>
                <w:sz w:val="24"/>
                <w:szCs w:val="28"/>
              </w:rPr>
              <w:t>市校级表彰者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（每年）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D9CEA1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0A23BAB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7DA33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04D457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0754B3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BEED1A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获省级及以上表彰者（每年）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472C53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4C22A3C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73549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66DFA0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79887DD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文明寝室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D8E548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获二级学院级表彰者（每年）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A6F020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61DF90E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5BA4D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5EF0B34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学术、训练活动</w:t>
            </w: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415664F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经典阅读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DCE002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阅读</w:t>
            </w: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本后每本撰写不少于</w:t>
            </w:r>
            <w:r>
              <w:rPr>
                <w:rFonts w:eastAsia="仿宋_GB2312"/>
                <w:kern w:val="0"/>
                <w:sz w:val="24"/>
                <w:szCs w:val="20"/>
              </w:rPr>
              <w:t>1000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字的读后感，读后感必须原创，抄袭者倒扣</w:t>
            </w: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597C4E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569E9E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上限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3F463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205CC5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4E15E89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学术讲座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80D3A4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参加二级学院院级以上组织讲座，每参加</w:t>
            </w: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次，完成相关材料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B36D22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666FF3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上限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5CC19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15BE6D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62A8EE1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参加课外培训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6A47A3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参加各类竞赛培训、科研训练、创业训练、</w:t>
            </w:r>
            <w:r>
              <w:rPr>
                <w:rFonts w:eastAsia="仿宋_GB2312"/>
                <w:kern w:val="0"/>
                <w:sz w:val="24"/>
                <w:szCs w:val="20"/>
              </w:rPr>
              <w:t>SYB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创业培训、文化艺术体育训练队等达到</w:t>
            </w: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周以上，完成相关任务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AF455E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14D73E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上限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学分</w:t>
            </w:r>
          </w:p>
        </w:tc>
      </w:tr>
      <w:tr w14:paraId="3BF0F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393F22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6358B6E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访学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2843F4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学校组织的国境外访学活动一周并有报告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F45DBE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24AE3C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3A24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593266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C67989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AAFBB0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学校组织的国境外访学活动二周并有报告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0B5A99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05E5711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2CC6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646E9B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3D778B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DA18CC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学校组织的国境外访学活动三周并有报告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530299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477477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2288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DAF686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6F1083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参加学术会议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07FF9B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地区性学术会议并有交流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F5C906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924FD2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F936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80FAD9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B31155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773C1B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全国性、国际性学术会议并有交流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2F7EA4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65D123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1136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56D070C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考级考证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6AAA53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国家职业证书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6752D3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初级（五级）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18F98C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E40B62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6E48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04C309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5D2B45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9C2D0F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中级（四级）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6AEC50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F7E76C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47D2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C582D5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5E38A3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24DF1E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高级（三级）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B08912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7A49E9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B1C1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33D550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76EF601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全国计算机软件资格、水平证书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756BFF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初级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D9213C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CB5973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DB6C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4E9C80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F765DD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7262BF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中级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0AF009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DBCF94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1346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248AF8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5A65D3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6D0252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高级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0D7DA7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6EE0C6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7BFE5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DA9555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47003C0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计算机等级证书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41F49B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计算机三级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FB4B19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noWrap/>
            <w:vAlign w:val="center"/>
          </w:tcPr>
          <w:p w14:paraId="0C65CFD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28B30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35D23C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9536F9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1E736C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计算机四级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C78926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noWrap/>
            <w:vAlign w:val="center"/>
          </w:tcPr>
          <w:p w14:paraId="24B6C59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01C5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625F6E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564EDBB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语言类证书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9FB5E1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艺术体育类学生全国大学外语四级考试</w:t>
            </w:r>
            <w:r>
              <w:rPr>
                <w:rFonts w:eastAsia="仿宋_GB2312"/>
                <w:kern w:val="0"/>
                <w:sz w:val="24"/>
                <w:szCs w:val="20"/>
              </w:rPr>
              <w:t>425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分及以上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C7751C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BA16CD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0B643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DDC6B4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359098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70B77A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全国大学外语六级考试</w:t>
            </w:r>
            <w:r>
              <w:rPr>
                <w:rFonts w:eastAsia="仿宋_GB2312"/>
                <w:kern w:val="0"/>
                <w:sz w:val="24"/>
                <w:szCs w:val="20"/>
              </w:rPr>
              <w:t>425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分及以上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B9E511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7F9B5F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EFC6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384BF4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254236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A7F526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英语（日语）专业八级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6FD275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7C9DB4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377D2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43F0CD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8CD3C9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FEBBC9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大学英语四级口语考试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63D2C5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D4A864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3FC16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CD2476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5DDA49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8CFF18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大学英语六级口语考试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2A6C84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1.5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5E3C7D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CE6F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8AFD66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FEFE10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2F45A6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非师范专业二乙及以上普通话证书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595ABD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A94C28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72F49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75A8C5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039887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D854D4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一乙及以上普通话证书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3B5AA3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9E1304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3A53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134707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A8A4AB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</w:tcPr>
          <w:p w14:paraId="0868557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国家级语言类证书（如日语N1、雅思、托福等）需二级学院认定</w:t>
            </w:r>
          </w:p>
        </w:tc>
        <w:tc>
          <w:tcPr>
            <w:tcW w:w="964" w:type="dxa"/>
            <w:tcBorders>
              <w:tl2br w:val="nil"/>
              <w:tr2bl w:val="nil"/>
            </w:tcBorders>
          </w:tcPr>
          <w:p w14:paraId="6D556EB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A2AD0A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</w:p>
        </w:tc>
      </w:tr>
      <w:tr w14:paraId="628CC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7CF911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2C84264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其他证书（如从业资格证）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499FB9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经二级学院认定、教务处审核确认的其他相关证书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0228BE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1531125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级别达到国家职业证书初级水平</w:t>
            </w:r>
          </w:p>
        </w:tc>
      </w:tr>
      <w:tr w14:paraId="04EAA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4C8B988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学科竞赛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666CA68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市校级（未纳入省厅业绩考核的市级和校级）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6AA65C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CB1E03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restart"/>
            <w:tcBorders>
              <w:tl2br w:val="nil"/>
              <w:tr2bl w:val="nil"/>
            </w:tcBorders>
            <w:vAlign w:val="center"/>
          </w:tcPr>
          <w:p w14:paraId="4467FFD8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团队参赛每人给上述学分；若某项竞赛未设一、二、三等奖，只设优秀奖或其他奖项名称（数量</w:t>
            </w:r>
            <w:r>
              <w:rPr>
                <w:rFonts w:eastAsia="仿宋_GB2312"/>
                <w:kern w:val="0"/>
                <w:szCs w:val="21"/>
              </w:rPr>
              <w:t>&lt;10</w:t>
            </w:r>
            <w:r>
              <w:rPr>
                <w:rFonts w:hint="eastAsia" w:eastAsia="仿宋_GB2312"/>
                <w:kern w:val="0"/>
                <w:szCs w:val="21"/>
              </w:rPr>
              <w:t>项）作为最高奖项的，认定为相应等级的二等奖学分。</w:t>
            </w:r>
          </w:p>
        </w:tc>
      </w:tr>
      <w:tr w14:paraId="127C2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A7E4E6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F48A11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94C5C1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F581A8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5A59D216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0A623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DB1175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BDD442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7DB985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ADCE6E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6395D5AE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79809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B388E4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07EC880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省级（未纳入省厅业绩考核）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0D7B44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356E5C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0C69C589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611BC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2AF140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CF797A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697048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460005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749103CA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6DD2A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15456F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657592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7B0A8D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7E14D1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2.5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2F0DEAD2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28633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796DF9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0FF075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38DF41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特等奖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7F9F15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6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5312C87C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0703F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7B4698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768BC56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国家级（未纳入省厅业绩考核）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D231DC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053004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2.5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61FC5CB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7099B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5DF77B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62E346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979249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3D74CC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6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38C4EE5D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07B50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E5594B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8A0877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7D2FA3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A918FC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7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3.5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6A26E34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5D055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79CD82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34AE10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45970F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特等奖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A1D70B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9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（</w:t>
            </w:r>
            <w:r>
              <w:rPr>
                <w:rFonts w:eastAsia="仿宋_GB2312"/>
                <w:kern w:val="0"/>
                <w:sz w:val="24"/>
                <w:szCs w:val="20"/>
              </w:rPr>
              <w:t>4.5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）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6060B37D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5AD42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21B5CE5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文化、艺术、体育竞赛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DF6C2D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8926E5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7-9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名（三等奖）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212715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5BC3E7E3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52084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AE6D00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7C3E35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AD68FF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4-6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名（二等奖）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6AD37B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1C377389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123FD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6F261B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34353D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91BB6D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1-3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名（特等奖、一等奖）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16359D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6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404E081D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0130E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589D01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0AC9499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省部级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2B4792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7-9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名（三等奖）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96CBF9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48F50B6B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13829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C72D98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50C78C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A97CD5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4-6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名（二等奖）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9CE775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25921D1B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32386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BF7606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784F22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29C218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1-3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名（特等奖、一等奖）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D725E2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2D20FF45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4737A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01AE4D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210236F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市校级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03B758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4-6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名（二等奖）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A57533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090EB233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62945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BE9ADF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0874F4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D22442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第</w:t>
            </w:r>
            <w:r>
              <w:rPr>
                <w:rFonts w:eastAsia="仿宋_GB2312"/>
                <w:kern w:val="0"/>
                <w:sz w:val="24"/>
                <w:szCs w:val="20"/>
              </w:rPr>
              <w:t>1-3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名（一等奖）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ABB5FC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vMerge w:val="continue"/>
            <w:tcBorders>
              <w:tl2br w:val="nil"/>
              <w:tr2bl w:val="nil"/>
            </w:tcBorders>
            <w:vAlign w:val="center"/>
          </w:tcPr>
          <w:p w14:paraId="26EAA5A8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14:paraId="1D22F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369125D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发表著作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0AD64FA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学术著作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61F61C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参编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万字以下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1EA8D3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D8420D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5BDA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8169D5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D37238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856920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参编</w:t>
            </w: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万字以上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FCCD75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3FE527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7389A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D4759E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17707B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CC2B8A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参编</w:t>
            </w: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万字以上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249BA2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489B34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BBEF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C30F43F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A22E22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10D2A5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参编</w:t>
            </w: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万字以上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127582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D8836C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7FFC5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133B2F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B28CAA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1E0578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独立或主编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60D568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8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8F997C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24A5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58A9BDA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发表论文（作品）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525FA1E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学术会议论文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FEAAE4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地区性学术会议论文集中发表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1D0BA2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0723D2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6863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E3E203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4D4B32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9A896F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全国性、国际性学术会议论文集中发表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8B1B6B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2D3BA4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0D62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669AC4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8DAB46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学术论文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146FF4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一般公开刊物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D65FD5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F90DF7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9122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ED40F0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D9CAC5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55AC775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中文核心期刊、</w:t>
            </w:r>
            <w:r>
              <w:rPr>
                <w:rFonts w:eastAsia="仿宋_GB2312"/>
                <w:kern w:val="0"/>
                <w:sz w:val="24"/>
                <w:szCs w:val="20"/>
              </w:rPr>
              <w:t>ISTP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1F1DDF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50DC37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F7FC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FEC524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14E453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02719F0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一级刊物、</w:t>
            </w:r>
            <w:r>
              <w:rPr>
                <w:rFonts w:eastAsia="仿宋_GB2312"/>
                <w:kern w:val="0"/>
                <w:sz w:val="24"/>
                <w:szCs w:val="20"/>
              </w:rPr>
              <w:t>CSSCI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期刊、</w:t>
            </w:r>
            <w:r>
              <w:rPr>
                <w:rFonts w:hint="eastAsia" w:eastAsia="仿宋_GB2312"/>
                <w:kern w:val="0"/>
                <w:sz w:val="24"/>
                <w:szCs w:val="22"/>
              </w:rPr>
              <w:t>SCI期刊</w:t>
            </w:r>
            <w:r>
              <w:rPr>
                <w:rFonts w:eastAsia="仿宋_GB2312"/>
                <w:kern w:val="0"/>
                <w:sz w:val="24"/>
                <w:szCs w:val="22"/>
              </w:rPr>
              <w:t>I</w:t>
            </w:r>
            <w:r>
              <w:rPr>
                <w:rFonts w:eastAsia="仿宋_GB2312"/>
                <w:kern w:val="0"/>
                <w:sz w:val="24"/>
                <w:szCs w:val="20"/>
              </w:rPr>
              <w:t>II</w:t>
            </w:r>
            <w:r>
              <w:rPr>
                <w:rFonts w:hint="eastAsia" w:eastAsia="仿宋_GB2312"/>
                <w:kern w:val="0"/>
                <w:sz w:val="24"/>
                <w:szCs w:val="22"/>
              </w:rPr>
              <w:t>区和</w:t>
            </w:r>
            <w:r>
              <w:rPr>
                <w:rFonts w:eastAsia="仿宋_GB2312"/>
                <w:kern w:val="0"/>
                <w:sz w:val="24"/>
                <w:szCs w:val="22"/>
              </w:rPr>
              <w:t>IV</w:t>
            </w:r>
            <w:r>
              <w:rPr>
                <w:rFonts w:hint="eastAsia" w:eastAsia="仿宋_GB2312"/>
                <w:kern w:val="0"/>
                <w:sz w:val="24"/>
                <w:szCs w:val="22"/>
              </w:rPr>
              <w:t>区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、</w:t>
            </w:r>
            <w:r>
              <w:rPr>
                <w:rFonts w:eastAsia="仿宋_GB2312"/>
                <w:kern w:val="0"/>
                <w:sz w:val="24"/>
                <w:szCs w:val="20"/>
              </w:rPr>
              <w:t>EI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3409884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7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07CAB2F0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</w:p>
        </w:tc>
      </w:tr>
      <w:tr w14:paraId="07BA5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584433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6F87F6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C926858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权威刊物、</w:t>
            </w:r>
            <w:r>
              <w:rPr>
                <w:rFonts w:eastAsia="仿宋_GB2312"/>
                <w:kern w:val="0"/>
                <w:sz w:val="24"/>
                <w:szCs w:val="20"/>
              </w:rPr>
              <w:t>SCI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期刊</w:t>
            </w:r>
            <w:r>
              <w:rPr>
                <w:rFonts w:eastAsia="仿宋_GB2312"/>
                <w:kern w:val="0"/>
                <w:sz w:val="24"/>
                <w:szCs w:val="20"/>
              </w:rPr>
              <w:t>II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区、</w:t>
            </w:r>
            <w:r>
              <w:rPr>
                <w:rFonts w:eastAsia="仿宋_GB2312"/>
                <w:kern w:val="0"/>
                <w:sz w:val="24"/>
                <w:szCs w:val="20"/>
              </w:rPr>
              <w:t>SSCI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、</w:t>
            </w:r>
            <w:r>
              <w:rPr>
                <w:rFonts w:eastAsia="仿宋_GB2312"/>
                <w:kern w:val="0"/>
                <w:sz w:val="24"/>
                <w:szCs w:val="20"/>
              </w:rPr>
              <w:t>A&amp;HCI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149B212">
            <w:pPr>
              <w:widowControl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8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B2438D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3741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8BA0AE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5FE5F84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3CEEB1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SCI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 xml:space="preserve">期刊 </w:t>
            </w:r>
            <w:r>
              <w:rPr>
                <w:rFonts w:eastAsia="仿宋_GB2312"/>
                <w:kern w:val="0"/>
                <w:sz w:val="24"/>
                <w:szCs w:val="20"/>
              </w:rPr>
              <w:t>I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区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7A6169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10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E1990E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5525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B45D39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7515E65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其它文章（文学、艺术创作等）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2CF3A4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二级学院院级媒体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076319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BFD325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A9DD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04035E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325547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EB65CB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市校级媒体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85874B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E90193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59B7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9A7D03D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86794E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3E7CBE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省级媒体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4DE9CD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042BFEA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9454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116840C0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2AE32A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88C989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国家级媒体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B81905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523C15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24DC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1894491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科研项目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E5F1F8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校级（包括实验室开放项目）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00BE33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合格（负责人</w:t>
            </w:r>
            <w:r>
              <w:rPr>
                <w:rFonts w:eastAsia="仿宋_GB2312"/>
                <w:kern w:val="0"/>
                <w:sz w:val="24"/>
                <w:szCs w:val="20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成员）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320866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1/0.5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B91138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C3EE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28D979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018E2B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1ADD57C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优秀（负责人</w:t>
            </w:r>
            <w:r>
              <w:rPr>
                <w:rFonts w:eastAsia="仿宋_GB2312"/>
                <w:kern w:val="0"/>
                <w:sz w:val="24"/>
                <w:szCs w:val="20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成员）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022925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2/1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BDDCEB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5753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81EAF4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48F250B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市（厅）级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31CE4E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学生科研项目（负责人</w:t>
            </w:r>
            <w:r>
              <w:rPr>
                <w:rFonts w:eastAsia="仿宋_GB2312"/>
                <w:kern w:val="0"/>
                <w:sz w:val="24"/>
                <w:szCs w:val="20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成员）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94D0AA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3/1.5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1504D8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259C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D21C75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266DB43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F5B6D0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浙江省新苗人才计划（负责人</w:t>
            </w:r>
            <w:r>
              <w:rPr>
                <w:rFonts w:eastAsia="仿宋_GB2312"/>
                <w:kern w:val="0"/>
                <w:sz w:val="24"/>
                <w:szCs w:val="20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成员）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18048A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4/2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067721B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FBC3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9EE19E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tcBorders>
              <w:tl2br w:val="nil"/>
              <w:tr2bl w:val="nil"/>
            </w:tcBorders>
            <w:vAlign w:val="center"/>
          </w:tcPr>
          <w:p w14:paraId="27762F4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FA88AF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学生科研项目（负责人</w:t>
            </w:r>
            <w:r>
              <w:rPr>
                <w:rFonts w:eastAsia="仿宋_GB2312"/>
                <w:kern w:val="0"/>
                <w:sz w:val="24"/>
                <w:szCs w:val="20"/>
              </w:rPr>
              <w:t>/</w:t>
            </w:r>
            <w:r>
              <w:rPr>
                <w:rFonts w:hint="eastAsia" w:eastAsia="仿宋_GB2312"/>
                <w:kern w:val="0"/>
                <w:sz w:val="24"/>
                <w:szCs w:val="20"/>
              </w:rPr>
              <w:t>成员）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B1D32D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5/2.5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4CA8BB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04F5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5C608A0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科研获奖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58D155D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校级奖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2CB019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33CEB5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0.5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754A9D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8FF2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88428F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7520161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26A508F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2F988A08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163BAC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358E0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4971AB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7E814C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F648E4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DD9599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C45D96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2FEC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298DF9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0413E48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市（厅）级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3A8EBEA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参与奖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6FB87D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069558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285B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B2E3D0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82882B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0A23786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CBD729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92B77F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742B0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B1D3A2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E74991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B1C6EC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992A83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7898E2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6413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E48D814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26AF82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00DEA3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69CAD8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4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37A7588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B63A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5912E7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2902593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省级奖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0D355B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参与奖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668A970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191A9C7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4F713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8172AF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194BB0E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4BCE7C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7D63FA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B026F8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028B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6105604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6A6EF22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85FD83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C32D9C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180775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5D6F3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835B57E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0C9DDE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1125FD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643A7E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7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768DEE3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38357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F356B9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1F4F1C1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国家级奖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30F880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参与奖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8D6AB7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139134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A357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0141C527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5DF73B6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635605AB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三等奖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904725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2AAB5B0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17DCD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460D4678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A173AF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34022D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3BD6D8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7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6CC970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7CD3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EA4C9F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3243E3FA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7205A8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一等奖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3A1A13D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10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64B1BA83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F4D5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1257" w:type="dxa"/>
            <w:vMerge w:val="restart"/>
            <w:tcBorders>
              <w:tl2br w:val="nil"/>
              <w:tr2bl w:val="nil"/>
            </w:tcBorders>
            <w:vAlign w:val="center"/>
          </w:tcPr>
          <w:p w14:paraId="00D4348C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专利申请</w:t>
            </w:r>
          </w:p>
        </w:tc>
        <w:tc>
          <w:tcPr>
            <w:tcW w:w="1741" w:type="dxa"/>
            <w:vMerge w:val="restart"/>
            <w:tcBorders>
              <w:tl2br w:val="nil"/>
              <w:tr2bl w:val="nil"/>
            </w:tcBorders>
            <w:vAlign w:val="center"/>
          </w:tcPr>
          <w:p w14:paraId="33553AD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获国家专利局专利授权</w:t>
            </w: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77D05EFF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计算机软件著作权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046A977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1992DC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7AA3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5F771C6B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095A8682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4F4E559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外观设计专利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39B0821A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0867641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006DA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7A5936D3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BD64085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CE58205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实用新型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10A985F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5EFF64A6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2A5EA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27D19011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456919DC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54EC51C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发明专利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7A09BD7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8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43BF639E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  <w:tr w14:paraId="6AD41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1257" w:type="dxa"/>
            <w:vMerge w:val="continue"/>
            <w:tcBorders>
              <w:tl2br w:val="nil"/>
              <w:tr2bl w:val="nil"/>
            </w:tcBorders>
            <w:vAlign w:val="center"/>
          </w:tcPr>
          <w:p w14:paraId="3DD4C0B9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1741" w:type="dxa"/>
            <w:vMerge w:val="continue"/>
            <w:tcBorders>
              <w:tl2br w:val="nil"/>
              <w:tr2bl w:val="nil"/>
            </w:tcBorders>
            <w:vAlign w:val="center"/>
          </w:tcPr>
          <w:p w14:paraId="245E1706">
            <w:pPr>
              <w:widowControl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855" w:type="dxa"/>
            <w:tcBorders>
              <w:tl2br w:val="nil"/>
              <w:tr2bl w:val="nil"/>
            </w:tcBorders>
            <w:vAlign w:val="center"/>
          </w:tcPr>
          <w:p w14:paraId="40733DD7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专利转让</w:t>
            </w:r>
          </w:p>
        </w:tc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67CFA674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eastAsia="仿宋_GB2312"/>
                <w:kern w:val="0"/>
                <w:sz w:val="24"/>
                <w:szCs w:val="20"/>
              </w:rPr>
              <w:t>8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vAlign w:val="center"/>
          </w:tcPr>
          <w:p w14:paraId="0F9A7652">
            <w:pPr>
              <w:widowControl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　</w:t>
            </w:r>
          </w:p>
        </w:tc>
      </w:tr>
    </w:tbl>
    <w:p w14:paraId="68E6892D">
      <w:pPr>
        <w:rPr>
          <w:szCs w:val="20"/>
        </w:rPr>
      </w:pPr>
    </w:p>
    <w:tbl>
      <w:tblPr>
        <w:tblStyle w:val="6"/>
        <w:tblW w:w="9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4292"/>
        <w:gridCol w:w="1832"/>
        <w:gridCol w:w="1989"/>
      </w:tblGrid>
      <w:tr w14:paraId="7F445F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9980" w:type="dxa"/>
            <w:gridSpan w:val="4"/>
            <w:vAlign w:val="center"/>
          </w:tcPr>
          <w:p w14:paraId="5B22A89C">
            <w:pPr>
              <w:widowControl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eastAsia="黑体"/>
                <w:bCs/>
                <w:kern w:val="0"/>
                <w:sz w:val="24"/>
                <w:szCs w:val="20"/>
              </w:rPr>
              <w:t>附件</w:t>
            </w:r>
            <w:r>
              <w:rPr>
                <w:rFonts w:eastAsia="黑体"/>
                <w:bCs/>
                <w:kern w:val="0"/>
                <w:sz w:val="24"/>
                <w:szCs w:val="20"/>
              </w:rPr>
              <w:t>2</w:t>
            </w:r>
            <w:r>
              <w:rPr>
                <w:rFonts w:hint="eastAsia" w:eastAsia="黑体"/>
                <w:bCs/>
                <w:kern w:val="0"/>
                <w:sz w:val="24"/>
                <w:szCs w:val="20"/>
              </w:rPr>
              <w:t>：</w:t>
            </w:r>
            <w:r>
              <w:rPr>
                <w:b/>
                <w:bCs/>
                <w:kern w:val="0"/>
                <w:sz w:val="24"/>
                <w:szCs w:val="20"/>
              </w:rPr>
              <w:t xml:space="preserve">  </w:t>
            </w:r>
            <w:r>
              <w:rPr>
                <w:b/>
                <w:bCs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 w:eastAsia="方正小标宋简体"/>
                <w:b/>
                <w:bCs/>
                <w:kern w:val="0"/>
                <w:sz w:val="28"/>
                <w:szCs w:val="28"/>
              </w:rPr>
              <w:t>湖州学院学生课外学分认定、审核部门分工表</w:t>
            </w:r>
          </w:p>
        </w:tc>
      </w:tr>
      <w:tr w14:paraId="1CAF7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6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32AC1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类别</w:t>
            </w:r>
            <w:r>
              <w:rPr>
                <w:b/>
                <w:bCs/>
                <w:kern w:val="0"/>
                <w:sz w:val="22"/>
                <w:szCs w:val="22"/>
              </w:rPr>
              <w:t>/</w:t>
            </w: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项目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0FF291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认定部门</w:t>
            </w:r>
          </w:p>
        </w:tc>
        <w:tc>
          <w:tcPr>
            <w:tcW w:w="1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7A9D4E">
            <w:pPr>
              <w:widowControl/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/>
                <w:b/>
                <w:bCs/>
                <w:kern w:val="0"/>
                <w:sz w:val="22"/>
                <w:szCs w:val="22"/>
              </w:rPr>
              <w:t>审核部门</w:t>
            </w:r>
          </w:p>
        </w:tc>
      </w:tr>
      <w:tr w14:paraId="13F29A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8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9AF30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社会实践</w:t>
            </w: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A77820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寒暑假社会实践、志愿者活动、社团活动等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9D60F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198F4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团委</w:t>
            </w:r>
          </w:p>
        </w:tc>
      </w:tr>
      <w:tr w14:paraId="7764C2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CBE18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C41AC3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创业项目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B84E9E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CACA13">
            <w:pPr>
              <w:widowControl/>
              <w:spacing w:line="240" w:lineRule="exact"/>
              <w:jc w:val="center"/>
              <w:rPr>
                <w:rFonts w:hint="eastAsia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学生处</w:t>
            </w:r>
          </w:p>
        </w:tc>
      </w:tr>
      <w:tr w14:paraId="52B5D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35C94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DB2E47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团学干部、班干部、公寓干部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C26E4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EA3B37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团委</w:t>
            </w:r>
          </w:p>
        </w:tc>
      </w:tr>
      <w:tr w14:paraId="5D303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F6F7C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536235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文明寝室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E404AC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332BF5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学生处</w:t>
            </w:r>
          </w:p>
        </w:tc>
      </w:tr>
      <w:tr w14:paraId="3238C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E5CD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学术、训练活动</w:t>
            </w: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15C00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经典阅读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96F5E0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F0C70F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</w:tr>
      <w:tr w14:paraId="369C0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57FDC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BDB953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其他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CBEDED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1F9AA6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承办部门</w:t>
            </w:r>
          </w:p>
        </w:tc>
      </w:tr>
      <w:tr w14:paraId="5C9CED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6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BFA14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考级考证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168E4D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581947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259582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3A9B0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学科竞赛、文化、艺术、体育竞赛</w:t>
            </w: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B635CE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学科竞赛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DB7D96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EEDC9D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3F753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32646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6125B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文化、艺术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3C47A9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1B88F7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团委</w:t>
            </w:r>
          </w:p>
        </w:tc>
      </w:tr>
      <w:tr w14:paraId="06450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8CF6A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93ED90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体育竞赛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48E308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30F544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公共教学部</w:t>
            </w:r>
          </w:p>
        </w:tc>
      </w:tr>
      <w:tr w14:paraId="0E049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0209C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论文、作品、专利等科研成果</w:t>
            </w: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C9C39D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学术著作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8153F3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6DAEE3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1F745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DD243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F357B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学术论文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C248FA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7C4D37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066A5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27133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CCD79A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其他媒体文章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908329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5FABEA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宣传部</w:t>
            </w:r>
          </w:p>
        </w:tc>
      </w:tr>
      <w:tr w14:paraId="771BC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AC6D7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566C0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国家专利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F205DE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0A0FFE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30832E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BD10D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科研项目</w:t>
            </w: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468D0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二级学院院级（包括实验室开放项目）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85F031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8E6948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3E8F0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2F107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C5FDF5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市（厅）级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74F4AC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CFA2F2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302E08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A0E45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477F69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省级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86186B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42FA0F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团委</w:t>
            </w:r>
          </w:p>
        </w:tc>
      </w:tr>
      <w:tr w14:paraId="11F5DD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8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04259">
            <w:pPr>
              <w:widowControl/>
              <w:spacing w:line="240" w:lineRule="exact"/>
              <w:jc w:val="left"/>
              <w:rPr>
                <w:rFonts w:eastAsia="仿宋_GB2312"/>
                <w:kern w:val="0"/>
                <w:sz w:val="24"/>
                <w:szCs w:val="20"/>
              </w:rPr>
            </w:pPr>
          </w:p>
        </w:tc>
        <w:tc>
          <w:tcPr>
            <w:tcW w:w="4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CD55ED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国家级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DF9823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A5D065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  <w:tr w14:paraId="6846E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6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2178E2A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科研获奖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E50410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二级学院</w:t>
            </w:r>
          </w:p>
        </w:tc>
        <w:tc>
          <w:tcPr>
            <w:tcW w:w="1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11886A">
            <w:pPr>
              <w:widowControl/>
              <w:spacing w:line="240" w:lineRule="exact"/>
              <w:jc w:val="center"/>
              <w:rPr>
                <w:rFonts w:hint="eastAsia" w:eastAsia="仿宋_GB2312"/>
                <w:kern w:val="0"/>
                <w:sz w:val="24"/>
                <w:szCs w:val="20"/>
              </w:rPr>
            </w:pPr>
            <w:r>
              <w:rPr>
                <w:rFonts w:hint="eastAsia" w:eastAsia="仿宋_GB2312"/>
                <w:kern w:val="0"/>
                <w:sz w:val="24"/>
                <w:szCs w:val="20"/>
              </w:rPr>
              <w:t>教务处</w:t>
            </w:r>
          </w:p>
        </w:tc>
      </w:tr>
    </w:tbl>
    <w:p w14:paraId="6B694599">
      <w:pPr>
        <w:widowControl/>
        <w:adjustRightInd w:val="0"/>
        <w:snapToGrid w:val="0"/>
        <w:spacing w:line="240" w:lineRule="exact"/>
        <w:ind w:firstLine="640" w:firstLineChars="200"/>
        <w:jc w:val="left"/>
        <w:rPr>
          <w:rFonts w:ascii="仿宋_GB2312" w:hAnsi="宋体" w:eastAsia="仿宋_GB2312" w:cs="Arial"/>
          <w:color w:val="000000"/>
          <w:kern w:val="0"/>
          <w:sz w:val="32"/>
          <w:szCs w:val="32"/>
        </w:rPr>
      </w:pPr>
    </w:p>
    <w:p w14:paraId="41015734"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 w14:paraId="7589F0B8"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 w14:paraId="454D1490"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 w14:paraId="30DE9746">
      <w:pPr>
        <w:spacing w:line="100" w:lineRule="exact"/>
        <w:ind w:right="-816"/>
        <w:rPr>
          <w:rFonts w:ascii="方正小标宋简体" w:eastAsia="方正小标宋简体"/>
          <w:color w:val="FF0000"/>
          <w:sz w:val="32"/>
          <w:szCs w:val="32"/>
        </w:rPr>
      </w:pPr>
    </w:p>
    <w:p w14:paraId="1392A5B5">
      <w:pPr>
        <w:spacing w:line="100" w:lineRule="exact"/>
        <w:ind w:left="-105" w:leftChars="-50" w:right="-816"/>
        <w:rPr>
          <w:rFonts w:ascii="方正小标宋简体" w:eastAsia="方正小标宋简体"/>
          <w:color w:val="FF0000"/>
          <w:sz w:val="32"/>
          <w:szCs w:val="32"/>
        </w:rPr>
      </w:pPr>
    </w:p>
    <w:p w14:paraId="34524CFF">
      <w:pPr>
        <w:spacing w:line="100" w:lineRule="exact"/>
        <w:ind w:left="-105" w:leftChars="-50" w:right="-816"/>
        <w:rPr>
          <w:rFonts w:hint="eastAsia" w:ascii="方正小标宋简体" w:eastAsia="方正小标宋简体"/>
          <w:color w:val="FF0000"/>
          <w:sz w:val="32"/>
          <w:szCs w:val="32"/>
        </w:rPr>
      </w:pPr>
    </w:p>
    <w:p w14:paraId="55036067">
      <w:pPr>
        <w:spacing w:line="100" w:lineRule="exact"/>
        <w:ind w:left="-105" w:leftChars="-50" w:right="-816"/>
        <w:rPr>
          <w:rFonts w:ascii="方正小标宋简体" w:eastAsia="方正小标宋简体"/>
          <w:color w:val="FF0000"/>
          <w:sz w:val="32"/>
          <w:szCs w:val="32"/>
        </w:rPr>
      </w:pPr>
    </w:p>
    <w:p w14:paraId="2829DBFC">
      <w:pPr>
        <w:spacing w:line="100" w:lineRule="exact"/>
        <w:ind w:left="-105" w:leftChars="-50" w:right="-816"/>
        <w:rPr>
          <w:rFonts w:ascii="方正小标宋简体" w:eastAsia="方正小标宋简体"/>
          <w:color w:val="FF0000"/>
          <w:sz w:val="32"/>
          <w:szCs w:val="32"/>
        </w:rPr>
      </w:pPr>
    </w:p>
    <w:p w14:paraId="37146C85">
      <w:pPr>
        <w:spacing w:line="100" w:lineRule="exact"/>
        <w:ind w:left="-105" w:leftChars="-50" w:right="-816"/>
        <w:rPr>
          <w:rFonts w:ascii="黑体" w:eastAsia="黑体"/>
          <w:sz w:val="32"/>
          <w:u w:val="single"/>
        </w:rPr>
      </w:pPr>
      <w:r>
        <w:rPr>
          <w:rFonts w:hint="eastAsia" w:ascii="黑体" w:eastAsia="黑体"/>
          <w:sz w:val="32"/>
          <w:u w:val="single"/>
        </w:rPr>
        <w:t xml:space="preserve">                                                         </w:t>
      </w:r>
    </w:p>
    <w:p w14:paraId="44F78083">
      <w:pPr>
        <w:spacing w:line="440" w:lineRule="exact"/>
        <w:ind w:left="-105" w:leftChars="-50" w:right="-816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湖州学院                                 2021年7月24日印发</w:t>
      </w:r>
    </w:p>
    <w:p w14:paraId="1AB7C4A7">
      <w:pPr>
        <w:spacing w:line="100" w:lineRule="exact"/>
        <w:ind w:left="-105" w:leftChars="-50" w:right="-816"/>
        <w:rPr>
          <w:rFonts w:ascii="黑体" w:eastAsia="黑体"/>
          <w:b/>
          <w:sz w:val="32"/>
          <w:u w:val="single"/>
        </w:rPr>
      </w:pPr>
      <w:r>
        <w:rPr>
          <w:rFonts w:hint="eastAsia" w:ascii="黑体" w:eastAsia="黑体"/>
          <w:b/>
          <w:sz w:val="32"/>
          <w:u w:val="single"/>
        </w:rPr>
        <w:t xml:space="preserve">                                                         </w:t>
      </w:r>
    </w:p>
    <w:sectPr>
      <w:footerReference r:id="rId3" w:type="default"/>
      <w:pgSz w:w="11906" w:h="16838"/>
      <w:pgMar w:top="873" w:right="1797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56BE44"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02E194B9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8F8"/>
    <w:rsid w:val="00086B17"/>
    <w:rsid w:val="00191F9D"/>
    <w:rsid w:val="001A0FF8"/>
    <w:rsid w:val="001E6674"/>
    <w:rsid w:val="00233AF9"/>
    <w:rsid w:val="002A183E"/>
    <w:rsid w:val="002D593B"/>
    <w:rsid w:val="002F5F6B"/>
    <w:rsid w:val="003865E7"/>
    <w:rsid w:val="003970EE"/>
    <w:rsid w:val="003D7AC5"/>
    <w:rsid w:val="003E273C"/>
    <w:rsid w:val="0043225A"/>
    <w:rsid w:val="0048469B"/>
    <w:rsid w:val="004A5622"/>
    <w:rsid w:val="004B269E"/>
    <w:rsid w:val="0051561E"/>
    <w:rsid w:val="00537E2E"/>
    <w:rsid w:val="005B7B96"/>
    <w:rsid w:val="005F7903"/>
    <w:rsid w:val="006518F8"/>
    <w:rsid w:val="00665920"/>
    <w:rsid w:val="00673351"/>
    <w:rsid w:val="006A34D0"/>
    <w:rsid w:val="006F3DC0"/>
    <w:rsid w:val="00702461"/>
    <w:rsid w:val="00777B14"/>
    <w:rsid w:val="00785363"/>
    <w:rsid w:val="007E5CA7"/>
    <w:rsid w:val="008722F3"/>
    <w:rsid w:val="00980C5F"/>
    <w:rsid w:val="00997207"/>
    <w:rsid w:val="009A74C3"/>
    <w:rsid w:val="009B2551"/>
    <w:rsid w:val="009E5A07"/>
    <w:rsid w:val="009F12A5"/>
    <w:rsid w:val="00A24BD8"/>
    <w:rsid w:val="00AD6546"/>
    <w:rsid w:val="00B35384"/>
    <w:rsid w:val="00B64DCC"/>
    <w:rsid w:val="00BD6FBB"/>
    <w:rsid w:val="00C0703E"/>
    <w:rsid w:val="00C14640"/>
    <w:rsid w:val="00C36B17"/>
    <w:rsid w:val="00CA0A42"/>
    <w:rsid w:val="00CF2944"/>
    <w:rsid w:val="00CF36B6"/>
    <w:rsid w:val="00D32BF1"/>
    <w:rsid w:val="00D93D21"/>
    <w:rsid w:val="00DB5EA6"/>
    <w:rsid w:val="00E3065E"/>
    <w:rsid w:val="00E42FB3"/>
    <w:rsid w:val="00E45686"/>
    <w:rsid w:val="00E77AAB"/>
    <w:rsid w:val="00E8608B"/>
    <w:rsid w:val="00E9463F"/>
    <w:rsid w:val="00F13595"/>
    <w:rsid w:val="00F5349C"/>
    <w:rsid w:val="00F53E07"/>
    <w:rsid w:val="00F55A88"/>
    <w:rsid w:val="00F824A7"/>
    <w:rsid w:val="00FE1956"/>
    <w:rsid w:val="00FF5284"/>
    <w:rsid w:val="3D507A01"/>
    <w:rsid w:val="43E83CA4"/>
    <w:rsid w:val="5FDF1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2FB09D-0B24-4BB2-BB91-F6973A46D6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7</Pages>
  <Words>2869</Words>
  <Characters>3011</Characters>
  <Lines>29</Lines>
  <Paragraphs>8</Paragraphs>
  <TotalTime>309</TotalTime>
  <ScaleCrop>false</ScaleCrop>
  <LinksUpToDate>false</LinksUpToDate>
  <CharactersWithSpaces>3278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2018-04-24T03:01:00Z</dcterms:created>
  <dc:creator>pc-7</dc:creator>
  <cp:lastModifiedBy>WPS_1645239194</cp:lastModifiedBy>
  <cp:lastPrinted>2021-07-29T06:43:00Z</cp:lastPrinted>
  <dcterms:modified xsi:type="dcterms:W3CDTF">2026-04-07T08:39:16Z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eyJoZGlkIjoiNDBmMjhkNmY1M2M5YTI4ZDM3OWMwNDQ5YzhhMDNlM2MiLCJ1c2VySWQiOiIxMzMxMTg2NjQxIn0=</vt:lpwstr>
  </property>
  <property fmtid="{D5CDD505-2E9C-101B-9397-08002B2CF9AE}" pid="3" name="KSOProductBuildVer">
    <vt:lpwstr>2052-12.1.0.23125</vt:lpwstr>
  </property>
  <property fmtid="{D5CDD505-2E9C-101B-9397-08002B2CF9AE}" pid="4" name="ICV">
    <vt:lpwstr>600D393EE8CC4231B06C1F67EDD7DD2F_13</vt:lpwstr>
  </property>
</Properties>
</file>