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EE841">
      <w:pPr>
        <w:snapToGrid w:val="0"/>
        <w:spacing w:line="360" w:lineRule="auto"/>
        <w:ind w:left="428" w:right="1075" w:rightChars="512" w:hanging="428" w:hangingChars="213"/>
        <w:rPr>
          <w:rFonts w:hint="eastAsia" w:ascii="宋体" w:hAnsi="宋体" w:eastAsia="宋体"/>
          <w:b/>
          <w:bCs/>
          <w:sz w:val="20"/>
          <w:szCs w:val="20"/>
        </w:rPr>
      </w:pPr>
      <w:bookmarkStart w:id="5" w:name="_GoBack"/>
      <w:r>
        <w:rPr>
          <w:rFonts w:ascii="宋体" w:hAnsi="宋体" w:eastAsia="宋体"/>
          <w:b/>
          <w:bCs/>
          <w:sz w:val="20"/>
          <w:szCs w:val="20"/>
        </w:rPr>
        <w:t>附件</w:t>
      </w:r>
      <w:r>
        <w:rPr>
          <w:rFonts w:hint="eastAsia" w:ascii="宋体" w:hAnsi="宋体" w:eastAsia="宋体"/>
          <w:b/>
          <w:bCs/>
          <w:sz w:val="20"/>
          <w:szCs w:val="20"/>
        </w:rPr>
        <w:t>2：《湖州学院高等数学竞赛大纲》</w:t>
      </w:r>
    </w:p>
    <w:bookmarkEnd w:id="5"/>
    <w:p w14:paraId="37A566B6">
      <w:pPr>
        <w:snapToGrid w:val="0"/>
        <w:spacing w:line="144" w:lineRule="auto"/>
        <w:rPr>
          <w:rFonts w:ascii="Times New Roman" w:hAnsi="Times New Roman" w:cs="Times New Roman"/>
          <w:color w:val="333333"/>
        </w:rPr>
      </w:pPr>
    </w:p>
    <w:p w14:paraId="2D108A68">
      <w:pPr>
        <w:snapToGrid w:val="0"/>
        <w:spacing w:line="360" w:lineRule="auto"/>
        <w:ind w:left="426" w:right="1075" w:rightChars="512" w:hanging="681" w:hangingChars="213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一、</w:t>
      </w:r>
      <w:r>
        <w:rPr>
          <w:rFonts w:ascii="楷体" w:hAnsi="楷体" w:eastAsia="楷体"/>
          <w:sz w:val="32"/>
          <w:szCs w:val="32"/>
        </w:rPr>
        <w:t xml:space="preserve"> </w:t>
      </w:r>
      <w:bookmarkStart w:id="0" w:name="_Hlk162274164"/>
      <w:r>
        <w:rPr>
          <w:rFonts w:ascii="楷体" w:hAnsi="楷体" w:eastAsia="楷体"/>
          <w:sz w:val="32"/>
          <w:szCs w:val="32"/>
        </w:rPr>
        <w:t>函数极限和连续性</w:t>
      </w:r>
      <w:bookmarkEnd w:id="0"/>
    </w:p>
    <w:p w14:paraId="6E9A9537">
      <w:pPr>
        <w:snapToGrid w:val="0"/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考察考生对函数、</w:t>
      </w:r>
      <w:r>
        <w:rPr>
          <w:rFonts w:ascii="楷体" w:hAnsi="楷体" w:eastAsia="楷体"/>
          <w:sz w:val="32"/>
          <w:szCs w:val="32"/>
        </w:rPr>
        <w:t>极限概念的理解和掌握，函数极限的讨论和计算，函数的</w:t>
      </w:r>
      <w:r>
        <w:rPr>
          <w:rFonts w:hint="eastAsia" w:ascii="楷体" w:hAnsi="楷体" w:eastAsia="楷体"/>
          <w:sz w:val="32"/>
          <w:szCs w:val="32"/>
        </w:rPr>
        <w:t>连续性，</w:t>
      </w:r>
      <w:r>
        <w:rPr>
          <w:rFonts w:ascii="楷体" w:hAnsi="楷体" w:eastAsia="楷体"/>
          <w:sz w:val="32"/>
          <w:szCs w:val="32"/>
        </w:rPr>
        <w:t xml:space="preserve"> 闭区间上连续函数的性质(有界性、最大值和最小值定理、介值定理、</w:t>
      </w:r>
      <w:r>
        <w:rPr>
          <w:rFonts w:hint="eastAsia" w:ascii="楷体" w:hAnsi="楷体" w:eastAsia="楷体"/>
          <w:sz w:val="32"/>
          <w:szCs w:val="32"/>
        </w:rPr>
        <w:t>根的存在定理</w:t>
      </w:r>
      <w:r>
        <w:rPr>
          <w:rFonts w:ascii="楷体" w:hAnsi="楷体" w:eastAsia="楷体"/>
          <w:sz w:val="32"/>
          <w:szCs w:val="32"/>
        </w:rPr>
        <w:t>)，并会应用这些性质。</w:t>
      </w:r>
    </w:p>
    <w:p w14:paraId="7AFF3056">
      <w:pPr>
        <w:snapToGrid w:val="0"/>
        <w:spacing w:line="120" w:lineRule="auto"/>
        <w:ind w:left="426" w:right="1075" w:rightChars="512" w:hanging="681" w:hangingChars="213"/>
        <w:rPr>
          <w:rFonts w:hint="eastAsia" w:ascii="楷体" w:hAnsi="楷体" w:eastAsia="楷体"/>
          <w:sz w:val="32"/>
          <w:szCs w:val="32"/>
        </w:rPr>
      </w:pPr>
    </w:p>
    <w:p w14:paraId="3888209E">
      <w:pPr>
        <w:snapToGrid w:val="0"/>
        <w:spacing w:line="360" w:lineRule="auto"/>
        <w:ind w:left="426" w:right="1075" w:rightChars="512" w:hanging="681" w:hangingChars="213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二、</w:t>
      </w:r>
      <w:bookmarkStart w:id="1" w:name="_Hlk162274171"/>
      <w:r>
        <w:rPr>
          <w:rFonts w:ascii="楷体" w:hAnsi="楷体" w:eastAsia="楷体"/>
          <w:sz w:val="32"/>
          <w:szCs w:val="32"/>
        </w:rPr>
        <w:t xml:space="preserve"> 导数及其应用</w:t>
      </w:r>
      <w:bookmarkEnd w:id="1"/>
    </w:p>
    <w:p w14:paraId="5958152E">
      <w:pPr>
        <w:snapToGrid w:val="0"/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函数可导性的研究，</w:t>
      </w:r>
      <w:r>
        <w:rPr>
          <w:rFonts w:ascii="楷体" w:hAnsi="楷体" w:eastAsia="楷体"/>
          <w:sz w:val="32"/>
          <w:szCs w:val="32"/>
        </w:rPr>
        <w:t>微分中值定理及其应用，利用导数研究函数的性质(单</w:t>
      </w:r>
      <w:r>
        <w:rPr>
          <w:rFonts w:hint="eastAsia" w:ascii="楷体" w:hAnsi="楷体" w:eastAsia="楷体"/>
          <w:sz w:val="32"/>
          <w:szCs w:val="32"/>
        </w:rPr>
        <w:t>调性，</w:t>
      </w:r>
      <w:r>
        <w:rPr>
          <w:rFonts w:ascii="楷体" w:hAnsi="楷体" w:eastAsia="楷体"/>
          <w:sz w:val="32"/>
          <w:szCs w:val="32"/>
        </w:rPr>
        <w:t>凹凸性等)以及导数的应用 (极值、最大值和最小值等)。</w:t>
      </w:r>
    </w:p>
    <w:p w14:paraId="6E7CCADB">
      <w:pPr>
        <w:snapToGrid w:val="0"/>
        <w:spacing w:line="120" w:lineRule="auto"/>
        <w:ind w:left="426" w:right="1075" w:rightChars="512" w:hanging="681" w:hangingChars="213"/>
        <w:rPr>
          <w:rFonts w:hint="eastAsia" w:ascii="楷体" w:hAnsi="楷体" w:eastAsia="楷体"/>
          <w:sz w:val="32"/>
          <w:szCs w:val="32"/>
        </w:rPr>
      </w:pPr>
    </w:p>
    <w:p w14:paraId="383CB51F">
      <w:pPr>
        <w:snapToGrid w:val="0"/>
        <w:spacing w:line="360" w:lineRule="auto"/>
        <w:ind w:left="426" w:right="1075" w:rightChars="512" w:hanging="681" w:hangingChars="213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三、</w:t>
      </w:r>
      <w:r>
        <w:rPr>
          <w:rFonts w:ascii="楷体" w:hAnsi="楷体" w:eastAsia="楷体"/>
          <w:sz w:val="32"/>
          <w:szCs w:val="32"/>
        </w:rPr>
        <w:t xml:space="preserve"> </w:t>
      </w:r>
      <w:bookmarkStart w:id="2" w:name="_Hlk162274181"/>
      <w:r>
        <w:rPr>
          <w:rFonts w:ascii="楷体" w:hAnsi="楷体" w:eastAsia="楷体"/>
          <w:sz w:val="32"/>
          <w:szCs w:val="32"/>
        </w:rPr>
        <w:t>积分</w:t>
      </w:r>
      <w:bookmarkEnd w:id="2"/>
    </w:p>
    <w:p w14:paraId="0BFD26EE">
      <w:pPr>
        <w:snapToGrid w:val="0"/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不定积分和定积分的计算，</w:t>
      </w:r>
      <w:r>
        <w:rPr>
          <w:rFonts w:ascii="楷体" w:hAnsi="楷体" w:eastAsia="楷体"/>
          <w:sz w:val="32"/>
          <w:szCs w:val="32"/>
        </w:rPr>
        <w:t>定积分的应用 (面积、体积)</w:t>
      </w:r>
      <w:r>
        <w:rPr>
          <w:rFonts w:hint="eastAsia" w:ascii="楷体" w:hAnsi="楷体" w:eastAsia="楷体"/>
          <w:sz w:val="32"/>
          <w:szCs w:val="32"/>
        </w:rPr>
        <w:t>和广义积分。</w:t>
      </w:r>
    </w:p>
    <w:p w14:paraId="447F1FFB">
      <w:pPr>
        <w:snapToGrid w:val="0"/>
        <w:spacing w:line="120" w:lineRule="auto"/>
        <w:ind w:left="426" w:right="1075" w:rightChars="512" w:hanging="681" w:hangingChars="213"/>
        <w:rPr>
          <w:rFonts w:hint="eastAsia" w:ascii="楷体" w:hAnsi="楷体" w:eastAsia="楷体"/>
          <w:sz w:val="32"/>
          <w:szCs w:val="32"/>
        </w:rPr>
      </w:pPr>
    </w:p>
    <w:p w14:paraId="50FA1806">
      <w:pPr>
        <w:snapToGrid w:val="0"/>
        <w:spacing w:line="360" w:lineRule="auto"/>
        <w:ind w:left="426" w:right="1075" w:rightChars="512" w:hanging="681" w:hangingChars="213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四、</w:t>
      </w:r>
      <w:r>
        <w:rPr>
          <w:rFonts w:ascii="楷体" w:hAnsi="楷体" w:eastAsia="楷体"/>
          <w:sz w:val="32"/>
          <w:szCs w:val="32"/>
        </w:rPr>
        <w:t xml:space="preserve"> </w:t>
      </w:r>
      <w:bookmarkStart w:id="3" w:name="_Hlk162274199"/>
      <w:r>
        <w:rPr>
          <w:rFonts w:ascii="楷体" w:hAnsi="楷体" w:eastAsia="楷体"/>
          <w:sz w:val="32"/>
          <w:szCs w:val="32"/>
        </w:rPr>
        <w:t>级数</w:t>
      </w:r>
      <w:bookmarkEnd w:id="3"/>
    </w:p>
    <w:p w14:paraId="257887FB">
      <w:pPr>
        <w:snapToGrid w:val="0"/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级数的收敛性及其判别定理，</w:t>
      </w:r>
      <w:r>
        <w:rPr>
          <w:rFonts w:ascii="楷体" w:hAnsi="楷体" w:eastAsia="楷体"/>
          <w:sz w:val="32"/>
          <w:szCs w:val="32"/>
        </w:rPr>
        <w:t>几类特殊的级数的敛散性，如正项级数、一般</w:t>
      </w:r>
      <w:r>
        <w:rPr>
          <w:rFonts w:hint="eastAsia" w:ascii="楷体" w:hAnsi="楷体" w:eastAsia="楷体"/>
          <w:sz w:val="32"/>
          <w:szCs w:val="32"/>
        </w:rPr>
        <w:t>级数等，</w:t>
      </w:r>
      <w:r>
        <w:rPr>
          <w:rFonts w:ascii="楷体" w:hAnsi="楷体" w:eastAsia="楷体"/>
          <w:sz w:val="32"/>
          <w:szCs w:val="32"/>
        </w:rPr>
        <w:t>幂级数的求和。</w:t>
      </w:r>
    </w:p>
    <w:p w14:paraId="62664AC4">
      <w:pPr>
        <w:snapToGrid w:val="0"/>
        <w:spacing w:line="120" w:lineRule="auto"/>
        <w:ind w:left="426" w:right="1075" w:rightChars="512" w:hanging="681" w:hangingChars="213"/>
        <w:rPr>
          <w:rFonts w:hint="eastAsia" w:ascii="楷体" w:hAnsi="楷体" w:eastAsia="楷体"/>
          <w:sz w:val="32"/>
          <w:szCs w:val="32"/>
        </w:rPr>
      </w:pPr>
    </w:p>
    <w:p w14:paraId="17579483">
      <w:pPr>
        <w:snapToGrid w:val="0"/>
        <w:spacing w:line="360" w:lineRule="auto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五、</w:t>
      </w:r>
      <w:r>
        <w:rPr>
          <w:rFonts w:ascii="楷体" w:hAnsi="楷体" w:eastAsia="楷体"/>
          <w:sz w:val="32"/>
          <w:szCs w:val="32"/>
        </w:rPr>
        <w:t xml:space="preserve"> </w:t>
      </w:r>
      <w:bookmarkStart w:id="4" w:name="_Hlk162274209"/>
      <w:r>
        <w:rPr>
          <w:rFonts w:ascii="楷体" w:hAnsi="楷体" w:eastAsia="楷体"/>
          <w:sz w:val="32"/>
          <w:szCs w:val="32"/>
        </w:rPr>
        <w:t>多元微积分</w:t>
      </w:r>
      <w:bookmarkEnd w:id="4"/>
    </w:p>
    <w:p w14:paraId="15E936E4">
      <w:pPr>
        <w:snapToGrid w:val="0"/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矢量及其运算和空间解析几何，</w:t>
      </w:r>
      <w:r>
        <w:rPr>
          <w:rFonts w:ascii="楷体" w:hAnsi="楷体" w:eastAsia="楷体"/>
          <w:sz w:val="32"/>
          <w:szCs w:val="32"/>
        </w:rPr>
        <w:t>多元函数的微分及其性质和应用。二重积分、</w:t>
      </w:r>
      <w:r>
        <w:rPr>
          <w:rFonts w:hint="eastAsia" w:ascii="楷体" w:hAnsi="楷体" w:eastAsia="楷体"/>
          <w:sz w:val="32"/>
          <w:szCs w:val="32"/>
        </w:rPr>
        <w:t>三重积分、</w:t>
      </w:r>
      <w:r>
        <w:rPr>
          <w:rFonts w:ascii="楷体" w:hAnsi="楷体" w:eastAsia="楷体"/>
          <w:sz w:val="32"/>
          <w:szCs w:val="32"/>
        </w:rPr>
        <w:t>第一</w:t>
      </w:r>
      <w:r>
        <w:rPr>
          <w:rFonts w:hint="eastAsia" w:ascii="楷体" w:hAnsi="楷体" w:eastAsia="楷体"/>
          <w:sz w:val="32"/>
          <w:szCs w:val="32"/>
        </w:rPr>
        <w:t>类</w:t>
      </w:r>
      <w:r>
        <w:rPr>
          <w:rFonts w:ascii="楷体" w:hAnsi="楷体" w:eastAsia="楷体"/>
          <w:sz w:val="32"/>
          <w:szCs w:val="32"/>
        </w:rPr>
        <w:t>曲线与曲面积分的计算， Green公式</w:t>
      </w:r>
      <w:r>
        <w:rPr>
          <w:rFonts w:hint="eastAsia" w:ascii="楷体" w:hAnsi="楷体" w:eastAsia="楷体"/>
          <w:sz w:val="32"/>
          <w:szCs w:val="32"/>
        </w:rPr>
        <w:t>、</w:t>
      </w:r>
      <w:r>
        <w:rPr>
          <w:rFonts w:ascii="楷体" w:hAnsi="楷体" w:eastAsia="楷体"/>
          <w:sz w:val="32"/>
          <w:szCs w:val="32"/>
        </w:rPr>
        <w:t>曲线积分与路径无关性的应用和计算。</w:t>
      </w:r>
    </w:p>
    <w:p w14:paraId="2EEB7F61">
      <w:pPr>
        <w:snapToGrid w:val="0"/>
        <w:ind w:firstLine="640" w:firstLineChars="200"/>
        <w:rPr>
          <w:rFonts w:ascii="Times New Roman" w:hAnsi="Times New Roman" w:eastAsia="楷体" w:cs="Times New Roman"/>
          <w:sz w:val="32"/>
          <w:szCs w:val="32"/>
        </w:rPr>
      </w:pPr>
    </w:p>
    <w:p w14:paraId="1B8268B5">
      <w:pPr>
        <w:snapToGrid w:val="0"/>
        <w:spacing w:line="360" w:lineRule="auto"/>
        <w:rPr>
          <w:rFonts w:ascii="Times New Roman" w:hAnsi="Times New Roman" w:eastAsia="楷体" w:cs="Times New Roman"/>
          <w:color w:val="FF0000"/>
          <w:sz w:val="32"/>
          <w:szCs w:val="32"/>
        </w:rPr>
      </w:pPr>
      <w:r>
        <w:rPr>
          <w:rFonts w:ascii="Times New Roman" w:hAnsi="Times New Roman" w:eastAsia="楷体" w:cs="Times New Roman"/>
          <w:color w:val="FF0000"/>
          <w:sz w:val="32"/>
          <w:szCs w:val="32"/>
        </w:rPr>
        <w:t>（注：满分150分。其中一、二、三总计约120分，四、五总计约30分。）</w:t>
      </w:r>
    </w:p>
    <w:p w14:paraId="670C6C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E3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2026-03-20T08:19:27Z</dcterms:created>
  <dc:creator>zxf</dc:creator>
  <cp:lastModifiedBy>SKY</cp:lastModifiedBy>
  <dcterms:modified xsi:type="dcterms:W3CDTF">2026-03-20T08:19:50Z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eyJoZGlkIjoiMTc0OWUzYjQ5NWMyNWI0NDExZjZkYjVmZjIxM2FiOTkiLCJ1c2VySWQiOiIyMTA2MjU5ODkifQ==</vt:lpwstr>
  </property>
  <property fmtid="{D5CDD505-2E9C-101B-9397-08002B2CF9AE}" pid="4" name="ICV">
    <vt:lpwstr>2A963F5F92B64C3E8429622E5906BB45_12</vt:lpwstr>
  </property>
</Properties>
</file>