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92C43">
      <w:pPr>
        <w:pStyle w:val="7"/>
        <w:spacing w:before="0" w:after="0"/>
        <w:rPr>
          <w:rFonts w:ascii="Times New Roman" w:hAnsi="Times New Roman" w:eastAsia="方正小标宋简体" w:cs="Times New Roman"/>
          <w:sz w:val="36"/>
          <w:szCs w:val="36"/>
        </w:rPr>
      </w:pPr>
    </w:p>
    <w:p w14:paraId="3F5B8F49">
      <w:pPr>
        <w:pStyle w:val="7"/>
        <w:keepNext w:val="0"/>
        <w:keepLines w:val="0"/>
        <w:pageBreakBefore w:val="0"/>
        <w:widowControl w:val="0"/>
        <w:kinsoku/>
        <w:wordWrap/>
        <w:overflowPunct/>
        <w:topLinePunct w:val="0"/>
        <w:autoSpaceDE/>
        <w:autoSpaceDN/>
        <w:bidi w:val="0"/>
        <w:adjustRightInd/>
        <w:snapToGrid/>
        <w:spacing w:before="0" w:after="0" w:line="640" w:lineRule="exact"/>
        <w:textAlignment w:val="auto"/>
        <w:rPr>
          <w:rFonts w:ascii="Times New Roman" w:hAnsi="Times New Roman" w:eastAsia="方正小标宋简体" w:cs="Times New Roman"/>
          <w:b w:val="0"/>
          <w:bCs w:val="0"/>
          <w:sz w:val="44"/>
          <w:szCs w:val="44"/>
        </w:rPr>
      </w:pPr>
      <w:r>
        <w:rPr>
          <w:rFonts w:ascii="Times New Roman" w:hAnsi="Times New Roman" w:eastAsia="方正小标宋简体" w:cs="Times New Roman"/>
          <w:b w:val="0"/>
          <w:bCs w:val="0"/>
          <w:sz w:val="44"/>
          <w:szCs w:val="44"/>
        </w:rPr>
        <w:t>湖州学院“种质创新技术与应用”微专业</w:t>
      </w:r>
    </w:p>
    <w:p w14:paraId="4216FF5D">
      <w:pPr>
        <w:pStyle w:val="7"/>
        <w:keepNext w:val="0"/>
        <w:keepLines w:val="0"/>
        <w:pageBreakBefore w:val="0"/>
        <w:widowControl w:val="0"/>
        <w:kinsoku/>
        <w:wordWrap/>
        <w:overflowPunct/>
        <w:topLinePunct w:val="0"/>
        <w:autoSpaceDE/>
        <w:autoSpaceDN/>
        <w:bidi w:val="0"/>
        <w:adjustRightInd/>
        <w:snapToGrid/>
        <w:spacing w:before="0" w:after="0" w:line="640" w:lineRule="exact"/>
        <w:textAlignment w:val="auto"/>
        <w:rPr>
          <w:rFonts w:ascii="Times New Roman" w:hAnsi="Times New Roman" w:eastAsia="方正小标宋简体" w:cs="Times New Roman"/>
          <w:b w:val="0"/>
          <w:bCs w:val="0"/>
          <w:sz w:val="44"/>
          <w:szCs w:val="44"/>
        </w:rPr>
      </w:pPr>
      <w:r>
        <w:rPr>
          <w:rFonts w:ascii="Times New Roman" w:hAnsi="Times New Roman" w:eastAsia="方正小标宋简体" w:cs="Times New Roman"/>
          <w:b w:val="0"/>
          <w:bCs w:val="0"/>
          <w:sz w:val="44"/>
          <w:szCs w:val="44"/>
        </w:rPr>
        <w:t>招生简章</w:t>
      </w:r>
    </w:p>
    <w:p w14:paraId="7163CE6E">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宋体" w:cs="Times New Roman"/>
          <w:b/>
          <w:bCs/>
          <w:sz w:val="32"/>
          <w:szCs w:val="32"/>
        </w:rPr>
      </w:pPr>
      <w:r>
        <w:rPr>
          <w:rFonts w:ascii="Times New Roman" w:hAnsi="Times New Roman" w:eastAsia="方正小标宋简体" w:cs="Times New Roman"/>
          <w:sz w:val="44"/>
          <w:szCs w:val="44"/>
        </w:rPr>
        <w:t>（第一期）</w:t>
      </w:r>
    </w:p>
    <w:p w14:paraId="19268DA1">
      <w:pPr>
        <w:spacing w:line="360" w:lineRule="auto"/>
        <w:ind w:firstLine="482" w:firstLineChars="200"/>
        <w:rPr>
          <w:rFonts w:ascii="Times New Roman" w:hAnsi="Times New Roman" w:eastAsia="仿宋_GB2312" w:cs="Times New Roman"/>
          <w:b/>
          <w:bCs/>
          <w:sz w:val="24"/>
          <w:szCs w:val="24"/>
        </w:rPr>
      </w:pPr>
    </w:p>
    <w:p w14:paraId="33C1C61C">
      <w:pPr>
        <w:spacing w:line="560" w:lineRule="exact"/>
        <w:ind w:firstLine="640" w:firstLineChars="200"/>
        <w:rPr>
          <w:rFonts w:ascii="Times New Roman" w:hAnsi="Times New Roman" w:eastAsia="仿宋_GB2312" w:cs="Times New Roman"/>
          <w:sz w:val="32"/>
          <w:szCs w:val="32"/>
          <w:vertAlign w:val="subscript"/>
        </w:rPr>
      </w:pPr>
      <w:r>
        <w:rPr>
          <w:rFonts w:ascii="Times New Roman" w:hAnsi="Times New Roman" w:eastAsia="仿宋_GB2312" w:cs="Times New Roman"/>
          <w:sz w:val="32"/>
          <w:szCs w:val="32"/>
        </w:rPr>
        <w:t>前言：微专业是指在大学本科专业目录之外，围绕某些新兴的职业领域，以职业能力和素养培养为导向，通过相对系统和迷你精干的课程学习与实践，开拓视野，快速提升职业核心能力，打通专业教育与职业需求的 “最后一公里”，是对主学专业的开拓和拓宽，也是完成与其它学科交叉结合的途径之一。种质创新技术作为国家农业战略的核心支撑，正推动着农业领域的深刻变革。在生物技术飞速发展、种业竞争日益激烈的背景下，社会对掌握种质创新技术的专业人才需求迫切。秉持着湖州学院奋力建设 “全国知名、特色鲜明” 高水平应用型大学的目标，经过精心筹备，“种质创新技术与应用” 微专业正式推出，为有志于农业科技创新的同学提供专业助力。</w:t>
      </w:r>
    </w:p>
    <w:p w14:paraId="350DA52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一、培养目标与毕业要求</w:t>
      </w:r>
    </w:p>
    <w:p w14:paraId="67725ABD">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（一）微专业名称与合作单位</w:t>
      </w:r>
    </w:p>
    <w:p w14:paraId="5657E9CD">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专业名称：种质创新技术与应用</w:t>
      </w:r>
    </w:p>
    <w:p w14:paraId="7F9389D4">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合作单位：浙江省农科院</w:t>
      </w:r>
    </w:p>
    <w:p w14:paraId="51EFF999">
      <w:pPr>
        <w:spacing w:line="560" w:lineRule="exact"/>
        <w:ind w:firstLine="2240" w:firstLineChars="700"/>
        <w:rPr>
          <w:rFonts w:ascii="Times New Roman" w:hAnsi="Times New Roman" w:eastAsia="仿宋_GB2312" w:cs="Times New Roman"/>
          <w:sz w:val="32"/>
          <w:szCs w:val="32"/>
        </w:rPr>
      </w:pPr>
      <w:r>
        <w:rPr>
          <w:rFonts w:ascii="Times New Roman" w:hAnsi="Times New Roman" w:eastAsia="仿宋_GB2312" w:cs="Times New Roman"/>
          <w:sz w:val="32"/>
          <w:szCs w:val="32"/>
        </w:rPr>
        <w:t>湖州河马生物科技有限公司</w:t>
      </w:r>
    </w:p>
    <w:p w14:paraId="194420F8">
      <w:pPr>
        <w:spacing w:line="560" w:lineRule="exact"/>
        <w:ind w:firstLine="2240" w:firstLineChars="700"/>
        <w:rPr>
          <w:rFonts w:ascii="Times New Roman" w:hAnsi="Times New Roman" w:eastAsia="仿宋_GB2312" w:cs="Times New Roman"/>
          <w:sz w:val="32"/>
          <w:szCs w:val="32"/>
        </w:rPr>
      </w:pPr>
      <w:r>
        <w:rPr>
          <w:rFonts w:ascii="Times New Roman" w:hAnsi="Times New Roman" w:eastAsia="仿宋_GB2312" w:cs="Times New Roman"/>
          <w:sz w:val="32"/>
          <w:szCs w:val="32"/>
        </w:rPr>
        <w:t>湖州申科生物技术股份有限公司</w:t>
      </w:r>
    </w:p>
    <w:p w14:paraId="18194E15">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浙江天草生物科技有限公司</w:t>
      </w:r>
    </w:p>
    <w:p w14:paraId="03B8C2E9">
      <w:pPr>
        <w:spacing w:line="560" w:lineRule="exact"/>
        <w:ind w:firstLine="2240" w:firstLineChars="700"/>
        <w:rPr>
          <w:rFonts w:ascii="Times New Roman" w:hAnsi="Times New Roman" w:eastAsia="仿宋_GB2312" w:cs="Times New Roman"/>
          <w:sz w:val="32"/>
          <w:szCs w:val="32"/>
        </w:rPr>
      </w:pPr>
      <w:r>
        <w:rPr>
          <w:rFonts w:ascii="Times New Roman" w:hAnsi="Times New Roman" w:eastAsia="仿宋_GB2312" w:cs="Times New Roman"/>
          <w:sz w:val="32"/>
          <w:szCs w:val="32"/>
        </w:rPr>
        <w:t>浙江长兴百岁爷茶业股份有限公司</w:t>
      </w:r>
    </w:p>
    <w:p w14:paraId="7EF79BE3">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（二）培养目标</w:t>
      </w:r>
    </w:p>
    <w:p w14:paraId="7FFF6B7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本微专业以产业需求为牵引，通过跨学科课程、双师指导、真实场景实践，培养兼具扎实生物学基础、种质创新技能和实践应用能力的复合型人才，最终服务于农业科技创新和种业发展。</w:t>
      </w:r>
    </w:p>
    <w:p w14:paraId="33343136">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生毕业后将掌握种质创新的关键知识及操作技能，能在种业企业、科研机构等相关单位就业，拥有良好的职业发展前景。本微专业适于对种质创新领域有浓厚兴趣、具有一定生物学专业知识的各院系专业学生进行学习。</w:t>
      </w:r>
    </w:p>
    <w:p w14:paraId="39D4A59E">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（三）微专业特色</w:t>
      </w:r>
    </w:p>
    <w:p w14:paraId="02B90CD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微专业以学生就业为导向，实现课程学习、实习与就业一体化的培养模式。根据种质创新的人才需求和岗位要求设置课程体系，注重培养学生分析解决实际问题的能力，强调学生的知识、能力、素质全面协调发展。</w:t>
      </w:r>
    </w:p>
    <w:p w14:paraId="0671921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依托先进的实验室和实训基地，在农业科技创新和种业发展背景下，为学生提供广阔的就业空间，学生可在全国范围内相关单位就业。</w:t>
      </w:r>
    </w:p>
    <w:p w14:paraId="4B80F859">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（四）班级设置及师资力量</w:t>
      </w:r>
    </w:p>
    <w:p w14:paraId="3ED9A499">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第一期“种质创新技术与应用”微专业将面向全校</w:t>
      </w:r>
      <w:r>
        <w:rPr>
          <w:rFonts w:ascii="Times New Roman" w:hAnsi="Times New Roman" w:eastAsia="仿宋_GB2312" w:cs="Times New Roman"/>
          <w:color w:val="000000" w:themeColor="text1"/>
          <w:sz w:val="32"/>
          <w:szCs w:val="32"/>
          <w14:textFill>
            <w14:solidFill>
              <w14:schemeClr w14:val="tx1"/>
            </w14:solidFill>
          </w14:textFill>
        </w:rPr>
        <w:t xml:space="preserve"> 2022，2023</w:t>
      </w:r>
      <w:r>
        <w:rPr>
          <w:rFonts w:hint="eastAsia" w:ascii="Times New Roman" w:hAnsi="Times New Roman" w:eastAsia="仿宋_GB2312" w:cs="Times New Roman"/>
          <w:color w:val="000000" w:themeColor="text1"/>
          <w:sz w:val="32"/>
          <w:szCs w:val="32"/>
          <w14:textFill>
            <w14:solidFill>
              <w14:schemeClr w14:val="tx1"/>
            </w14:solidFill>
          </w14:textFill>
        </w:rPr>
        <w:t>，2024，2025</w:t>
      </w:r>
      <w:r>
        <w:rPr>
          <w:rFonts w:ascii="Times New Roman" w:hAnsi="Times New Roman" w:eastAsia="仿宋_GB2312" w:cs="Times New Roman"/>
          <w:color w:val="000000" w:themeColor="text1"/>
          <w:sz w:val="32"/>
          <w:szCs w:val="32"/>
          <w14:textFill>
            <w14:solidFill>
              <w14:schemeClr w14:val="tx1"/>
            </w14:solidFill>
          </w14:textFill>
        </w:rPr>
        <w:t xml:space="preserve"> 级全日制本科生进行招生</w:t>
      </w:r>
      <w:r>
        <w:rPr>
          <w:rFonts w:ascii="Times New Roman" w:hAnsi="Times New Roman" w:eastAsia="仿宋_GB2312" w:cs="Times New Roman"/>
          <w:sz w:val="32"/>
          <w:szCs w:val="32"/>
        </w:rPr>
        <w:t>，计划一个班级，招生人数 20 人左右，配备专门的班主任及企业专家导师。</w:t>
      </w:r>
    </w:p>
    <w:p w14:paraId="1EEC2334">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本微专业集合了湖州学院相关学院及湖州市种业领域的顶尖师资力量，教学团队由遗传学、分子生物学等领域优秀教师组成，全体成员具博士学位及行业经验。引入企业技术专家担任实践导师，形成“学术导师 + 产业导师” 双轨制，为学生授课，确保教学与行业前沿同步。</w:t>
      </w:r>
    </w:p>
    <w:p w14:paraId="086270F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二、学制、证书</w:t>
      </w:r>
    </w:p>
    <w:p w14:paraId="73E203C9">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（一）学制和修业年限</w:t>
      </w:r>
    </w:p>
    <w:p w14:paraId="3307729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学制和修业</w:t>
      </w:r>
      <w:r>
        <w:rPr>
          <w:rFonts w:ascii="Times New Roman" w:hAnsi="Times New Roman" w:eastAsia="仿宋_GB2312" w:cs="Times New Roman"/>
          <w:sz w:val="32"/>
          <w:szCs w:val="32"/>
          <w:woUserID w:val="1"/>
        </w:rPr>
        <w:t>时</w:t>
      </w:r>
      <w:r>
        <w:rPr>
          <w:rFonts w:ascii="Times New Roman" w:hAnsi="Times New Roman" w:eastAsia="仿宋_GB2312" w:cs="Times New Roman"/>
          <w:sz w:val="32"/>
          <w:szCs w:val="32"/>
        </w:rPr>
        <w:t xml:space="preserve">限为 </w:t>
      </w:r>
      <w:r>
        <w:rPr>
          <w:rFonts w:ascii="Times New Roman" w:hAnsi="Times New Roman" w:eastAsia="仿宋_GB2312" w:cs="Times New Roman"/>
          <w:sz w:val="32"/>
          <w:szCs w:val="32"/>
          <w:woUserID w:val="1"/>
        </w:rPr>
        <w:t>2个月</w:t>
      </w:r>
      <w:r>
        <w:rPr>
          <w:rFonts w:ascii="Times New Roman" w:hAnsi="Times New Roman" w:eastAsia="仿宋_GB2312" w:cs="Times New Roman"/>
          <w:sz w:val="32"/>
          <w:szCs w:val="32"/>
        </w:rPr>
        <w:t>。</w:t>
      </w:r>
    </w:p>
    <w:p w14:paraId="1018558C">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（二）最低毕业学分和结业证书</w:t>
      </w:r>
    </w:p>
    <w:p w14:paraId="376C63C3">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完成微专业课程 10 学分，微专业课程学习成绩单列成绩单，计入学生学业档案。达到微专业结业要求者，由学校发放微专业结业证书。微专业不影响原修读专业的课程学习及学分获取，也不影响原修读专业的毕业及学位授予。</w:t>
      </w:r>
    </w:p>
    <w:p w14:paraId="725603D8">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三、课程设置</w:t>
      </w:r>
    </w:p>
    <w:p w14:paraId="1FA3F5D2">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本微专业共设置 5 门课程，课程分为理论课程和实践课程，课程名称、学分、课时、开设学期及考核方式等如下表所示。</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268"/>
        <w:gridCol w:w="1276"/>
        <w:gridCol w:w="1140"/>
        <w:gridCol w:w="1383"/>
        <w:gridCol w:w="1383"/>
      </w:tblGrid>
      <w:tr w14:paraId="3F73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8F841CA">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序号</w:t>
            </w:r>
          </w:p>
        </w:tc>
        <w:tc>
          <w:tcPr>
            <w:tcW w:w="2268" w:type="dxa"/>
            <w:vAlign w:val="center"/>
          </w:tcPr>
          <w:p w14:paraId="4FC63CD7">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课程名称</w:t>
            </w:r>
          </w:p>
        </w:tc>
        <w:tc>
          <w:tcPr>
            <w:tcW w:w="1276" w:type="dxa"/>
            <w:vAlign w:val="center"/>
          </w:tcPr>
          <w:p w14:paraId="51EA99E2">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学分</w:t>
            </w:r>
          </w:p>
        </w:tc>
        <w:tc>
          <w:tcPr>
            <w:tcW w:w="1140" w:type="dxa"/>
            <w:vAlign w:val="center"/>
          </w:tcPr>
          <w:p w14:paraId="0EC2F6E4">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课时</w:t>
            </w:r>
          </w:p>
        </w:tc>
        <w:tc>
          <w:tcPr>
            <w:tcW w:w="1383" w:type="dxa"/>
            <w:vAlign w:val="center"/>
          </w:tcPr>
          <w:p w14:paraId="69291F1B">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开设时间</w:t>
            </w:r>
          </w:p>
        </w:tc>
        <w:tc>
          <w:tcPr>
            <w:tcW w:w="1383" w:type="dxa"/>
            <w:vAlign w:val="center"/>
          </w:tcPr>
          <w:p w14:paraId="7916A34E">
            <w:pPr>
              <w:spacing w:line="360" w:lineRule="auto"/>
              <w:jc w:val="center"/>
              <w:rPr>
                <w:rFonts w:ascii="Times New Roman" w:hAnsi="Times New Roman" w:eastAsia="黑体" w:cs="Times New Roman"/>
                <w:sz w:val="24"/>
                <w:szCs w:val="24"/>
              </w:rPr>
            </w:pPr>
            <w:r>
              <w:rPr>
                <w:rFonts w:ascii="Times New Roman" w:hAnsi="Times New Roman" w:eastAsia="黑体" w:cs="Times New Roman"/>
                <w:sz w:val="24"/>
                <w:szCs w:val="24"/>
              </w:rPr>
              <w:t>考核方式</w:t>
            </w:r>
          </w:p>
        </w:tc>
      </w:tr>
      <w:tr w14:paraId="77F48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45247EE">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2268" w:type="dxa"/>
            <w:vAlign w:val="center"/>
          </w:tcPr>
          <w:p w14:paraId="2C640083">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生物信息学</w:t>
            </w:r>
          </w:p>
        </w:tc>
        <w:tc>
          <w:tcPr>
            <w:tcW w:w="1276" w:type="dxa"/>
            <w:vAlign w:val="center"/>
          </w:tcPr>
          <w:p w14:paraId="059D8725">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140" w:type="dxa"/>
            <w:vAlign w:val="center"/>
          </w:tcPr>
          <w:p w14:paraId="5653C4C1">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32</w:t>
            </w:r>
          </w:p>
        </w:tc>
        <w:tc>
          <w:tcPr>
            <w:tcW w:w="1383" w:type="dxa"/>
            <w:vAlign w:val="center"/>
          </w:tcPr>
          <w:p w14:paraId="10743C4E">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2026.04-06</w:t>
            </w:r>
          </w:p>
        </w:tc>
        <w:tc>
          <w:tcPr>
            <w:tcW w:w="1383" w:type="dxa"/>
            <w:vAlign w:val="center"/>
          </w:tcPr>
          <w:p w14:paraId="57A59E63">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考查</w:t>
            </w:r>
          </w:p>
        </w:tc>
      </w:tr>
      <w:tr w14:paraId="04B5C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35E759C">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2268" w:type="dxa"/>
            <w:vAlign w:val="center"/>
          </w:tcPr>
          <w:p w14:paraId="3E08EE69">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种质资源学</w:t>
            </w:r>
          </w:p>
        </w:tc>
        <w:tc>
          <w:tcPr>
            <w:tcW w:w="1276" w:type="dxa"/>
            <w:vAlign w:val="center"/>
          </w:tcPr>
          <w:p w14:paraId="510D4A99">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140" w:type="dxa"/>
            <w:vAlign w:val="center"/>
          </w:tcPr>
          <w:p w14:paraId="0660CB60">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32</w:t>
            </w:r>
          </w:p>
        </w:tc>
        <w:tc>
          <w:tcPr>
            <w:tcW w:w="1383" w:type="dxa"/>
            <w:vAlign w:val="center"/>
          </w:tcPr>
          <w:p w14:paraId="4C18A564">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2026.04-06</w:t>
            </w:r>
          </w:p>
        </w:tc>
        <w:tc>
          <w:tcPr>
            <w:tcW w:w="1383" w:type="dxa"/>
            <w:vAlign w:val="center"/>
          </w:tcPr>
          <w:p w14:paraId="5A4AFCE6">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考查</w:t>
            </w:r>
          </w:p>
        </w:tc>
      </w:tr>
      <w:tr w14:paraId="4209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B5784CF">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2268" w:type="dxa"/>
            <w:vAlign w:val="center"/>
          </w:tcPr>
          <w:p w14:paraId="0DB019F8">
            <w:pPr>
              <w:spacing w:line="360" w:lineRule="auto"/>
              <w:jc w:val="center"/>
              <w:rPr>
                <w:rFonts w:ascii="Times New Roman" w:hAnsi="Times New Roman" w:eastAsia="仿宋_GB2312" w:cs="Times New Roman"/>
                <w:sz w:val="24"/>
                <w:szCs w:val="24"/>
              </w:rPr>
            </w:pPr>
            <w:bookmarkStart w:id="0" w:name="OLE_LINK3"/>
            <w:r>
              <w:rPr>
                <w:rFonts w:ascii="Times New Roman" w:hAnsi="Times New Roman" w:eastAsia="仿宋_GB2312" w:cs="Times New Roman"/>
                <w:sz w:val="24"/>
                <w:szCs w:val="24"/>
              </w:rPr>
              <w:t>种质创新技术</w:t>
            </w:r>
            <w:bookmarkEnd w:id="0"/>
          </w:p>
        </w:tc>
        <w:tc>
          <w:tcPr>
            <w:tcW w:w="1276" w:type="dxa"/>
            <w:vAlign w:val="center"/>
          </w:tcPr>
          <w:p w14:paraId="40C074FA">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140" w:type="dxa"/>
            <w:vAlign w:val="center"/>
          </w:tcPr>
          <w:p w14:paraId="1D4B399F">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32</w:t>
            </w:r>
          </w:p>
        </w:tc>
        <w:tc>
          <w:tcPr>
            <w:tcW w:w="1383" w:type="dxa"/>
            <w:vAlign w:val="center"/>
          </w:tcPr>
          <w:p w14:paraId="0039319C">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2026.04-06</w:t>
            </w:r>
          </w:p>
        </w:tc>
        <w:tc>
          <w:tcPr>
            <w:tcW w:w="1383" w:type="dxa"/>
            <w:vAlign w:val="center"/>
          </w:tcPr>
          <w:p w14:paraId="08873DB1">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考查</w:t>
            </w:r>
          </w:p>
        </w:tc>
      </w:tr>
      <w:tr w14:paraId="614D6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6E537CA5">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2268" w:type="dxa"/>
            <w:vAlign w:val="center"/>
          </w:tcPr>
          <w:p w14:paraId="031FDAA8">
            <w:pPr>
              <w:spacing w:line="360" w:lineRule="auto"/>
              <w:jc w:val="center"/>
              <w:rPr>
                <w:rFonts w:ascii="Times New Roman" w:hAnsi="Times New Roman" w:eastAsia="仿宋_GB2312" w:cs="Times New Roman"/>
                <w:sz w:val="24"/>
                <w:szCs w:val="24"/>
              </w:rPr>
            </w:pPr>
            <w:bookmarkStart w:id="1" w:name="OLE_LINK4"/>
            <w:r>
              <w:rPr>
                <w:rFonts w:ascii="Times New Roman" w:hAnsi="Times New Roman" w:eastAsia="仿宋_GB2312" w:cs="Times New Roman"/>
                <w:sz w:val="24"/>
                <w:szCs w:val="24"/>
              </w:rPr>
              <w:t>种质创新应用实践</w:t>
            </w:r>
            <w:bookmarkEnd w:id="1"/>
          </w:p>
        </w:tc>
        <w:tc>
          <w:tcPr>
            <w:tcW w:w="1276" w:type="dxa"/>
            <w:vAlign w:val="center"/>
          </w:tcPr>
          <w:p w14:paraId="7E1B8537">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140" w:type="dxa"/>
            <w:vAlign w:val="center"/>
          </w:tcPr>
          <w:p w14:paraId="034838A2">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32</w:t>
            </w:r>
          </w:p>
        </w:tc>
        <w:tc>
          <w:tcPr>
            <w:tcW w:w="1383" w:type="dxa"/>
            <w:vAlign w:val="center"/>
          </w:tcPr>
          <w:p w14:paraId="140B9393">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2026.04-06</w:t>
            </w:r>
          </w:p>
        </w:tc>
        <w:tc>
          <w:tcPr>
            <w:tcW w:w="1383" w:type="dxa"/>
            <w:vAlign w:val="center"/>
          </w:tcPr>
          <w:p w14:paraId="71696870">
            <w:pPr>
              <w:spacing w:line="360" w:lineRule="auto"/>
              <w:jc w:val="center"/>
              <w:rPr>
                <w:rFonts w:ascii="Times New Roman" w:hAnsi="Times New Roman" w:eastAsia="仿宋_GB2312" w:cs="Times New Roman"/>
                <w:sz w:val="24"/>
                <w:szCs w:val="24"/>
              </w:rPr>
            </w:pPr>
            <w:bookmarkStart w:id="2" w:name="OLE_LINK16"/>
            <w:r>
              <w:rPr>
                <w:rFonts w:ascii="Times New Roman" w:hAnsi="Times New Roman" w:eastAsia="仿宋_GB2312" w:cs="Times New Roman"/>
                <w:sz w:val="24"/>
                <w:szCs w:val="24"/>
              </w:rPr>
              <w:t>考查</w:t>
            </w:r>
            <w:bookmarkEnd w:id="2"/>
          </w:p>
        </w:tc>
      </w:tr>
      <w:tr w14:paraId="718B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27F1E8A">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2268" w:type="dxa"/>
            <w:vAlign w:val="center"/>
          </w:tcPr>
          <w:p w14:paraId="3413667D">
            <w:pPr>
              <w:spacing w:line="360" w:lineRule="auto"/>
              <w:jc w:val="center"/>
              <w:rPr>
                <w:rFonts w:ascii="Times New Roman" w:hAnsi="Times New Roman" w:eastAsia="仿宋_GB2312" w:cs="Times New Roman"/>
                <w:sz w:val="24"/>
                <w:szCs w:val="24"/>
              </w:rPr>
            </w:pPr>
            <w:bookmarkStart w:id="3" w:name="OLE_LINK2"/>
            <w:r>
              <w:rPr>
                <w:rFonts w:ascii="Times New Roman" w:hAnsi="Times New Roman" w:eastAsia="仿宋_GB2312" w:cs="Times New Roman"/>
                <w:sz w:val="24"/>
                <w:szCs w:val="24"/>
              </w:rPr>
              <w:t>合成生物种质实践</w:t>
            </w:r>
            <w:bookmarkEnd w:id="3"/>
          </w:p>
        </w:tc>
        <w:tc>
          <w:tcPr>
            <w:tcW w:w="1276" w:type="dxa"/>
            <w:vAlign w:val="center"/>
          </w:tcPr>
          <w:p w14:paraId="3F9B3F6D">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140" w:type="dxa"/>
            <w:vAlign w:val="center"/>
          </w:tcPr>
          <w:p w14:paraId="63C4CB13">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32</w:t>
            </w:r>
          </w:p>
        </w:tc>
        <w:tc>
          <w:tcPr>
            <w:tcW w:w="1383" w:type="dxa"/>
            <w:vAlign w:val="center"/>
          </w:tcPr>
          <w:p w14:paraId="2BF9F445">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2026.04-06</w:t>
            </w:r>
          </w:p>
        </w:tc>
        <w:tc>
          <w:tcPr>
            <w:tcW w:w="1383" w:type="dxa"/>
            <w:vAlign w:val="center"/>
          </w:tcPr>
          <w:p w14:paraId="5F5C5E9A">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考查</w:t>
            </w:r>
          </w:p>
        </w:tc>
      </w:tr>
    </w:tbl>
    <w:p w14:paraId="1198793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四、教学设施</w:t>
      </w:r>
    </w:p>
    <w:p w14:paraId="71266038">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建有分子育种实验室、生物信息分析室等专项实验室，配备先进设备，与多家单位共建实训基地。开发 “校内模拟实验 - 基地田间操作 - 企业研发实战” 三级实践体系，全方位保障实践教学。</w:t>
      </w:r>
    </w:p>
    <w:p w14:paraId="1FA41F25">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五、就业前景</w:t>
      </w:r>
    </w:p>
    <w:p w14:paraId="702EA9A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毕业生可在种业企业、生物技术公司、农业科研机构、高校及政府机构等就业，从事新品种培育、技术推广等工作。薪资待遇良好，职业发展空间广阔，可晋升高级研发人员、技术专家等职位。</w:t>
      </w:r>
    </w:p>
    <w:p w14:paraId="546B620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六、报名方式及时间</w:t>
      </w:r>
    </w:p>
    <w:p w14:paraId="259ED158">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202</w:t>
      </w: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日至</w:t>
      </w: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w:t>
      </w:r>
      <w:bookmarkStart w:id="4" w:name="_GoBack"/>
      <w:bookmarkEnd w:id="4"/>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color w:val="000000" w:themeColor="text1"/>
          <w:sz w:val="32"/>
          <w:szCs w:val="32"/>
          <w14:textFill>
            <w14:solidFill>
              <w14:schemeClr w14:val="tx1"/>
            </w14:solidFill>
          </w14:textFill>
        </w:rPr>
        <w:t>日，申请人将《报名表》，发送至 [zaibaozhang79@163.com]。</w:t>
      </w:r>
    </w:p>
    <w:p w14:paraId="5129D041">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七、联系方式</w:t>
      </w:r>
    </w:p>
    <w:p w14:paraId="3DDA2C8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联系人：张在宝老师</w:t>
      </w:r>
    </w:p>
    <w:p w14:paraId="7C22C21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联系电话：13826272603</w:t>
      </w:r>
    </w:p>
    <w:p w14:paraId="51D13FE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联系邮箱：zaibaozhang79@163.com</w:t>
      </w:r>
    </w:p>
    <w:p w14:paraId="635EEAA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湖州学院诚挚欢迎有志于种质创新的同学加入，共同推动农业科技进步，为国家粮食安全贡献力量。</w:t>
      </w:r>
    </w:p>
    <w:p w14:paraId="738BBBB5">
      <w:pPr>
        <w:spacing w:line="360" w:lineRule="auto"/>
        <w:rPr>
          <w:rFonts w:ascii="Times New Roman" w:hAnsi="Times New Roman" w:cs="Times New Roman"/>
          <w:sz w:val="24"/>
        </w:rPr>
      </w:pPr>
    </w:p>
    <w:p w14:paraId="6262DB3E">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湖州学院</w:t>
      </w:r>
      <w:r>
        <w:rPr>
          <w:rFonts w:ascii="Times New Roman" w:hAnsi="Times New Roman" w:eastAsia="仿宋_GB2312" w:cs="Times New Roman"/>
          <w:sz w:val="32"/>
          <w:szCs w:val="32"/>
        </w:rPr>
        <w:t>“种质创新技术与应用”微专业报名表</w:t>
      </w:r>
    </w:p>
    <w:p w14:paraId="5FA7990A">
      <w:pPr>
        <w:spacing w:line="560" w:lineRule="exact"/>
        <w:ind w:firstLine="640" w:firstLineChars="200"/>
        <w:rPr>
          <w:rFonts w:ascii="Times New Roman" w:hAnsi="Times New Roman" w:eastAsia="仿宋_GB2312" w:cs="Times New Roman"/>
          <w:sz w:val="32"/>
          <w:szCs w:val="32"/>
        </w:rPr>
      </w:pPr>
    </w:p>
    <w:p w14:paraId="00CEF0E8">
      <w:pPr>
        <w:spacing w:line="360" w:lineRule="auto"/>
        <w:ind w:firstLine="480" w:firstLineChars="200"/>
        <w:rPr>
          <w:rFonts w:ascii="Times New Roman" w:hAnsi="Times New Roman" w:cs="Times New Roman"/>
          <w:sz w:val="24"/>
        </w:rPr>
      </w:pPr>
    </w:p>
    <w:p w14:paraId="582157C2">
      <w:pPr>
        <w:spacing w:line="360" w:lineRule="auto"/>
        <w:ind w:firstLine="480" w:firstLineChars="200"/>
        <w:rPr>
          <w:rFonts w:ascii="Times New Roman" w:hAnsi="Times New Roman" w:cs="Times New Roman"/>
          <w:sz w:val="24"/>
        </w:rPr>
      </w:pPr>
    </w:p>
    <w:p w14:paraId="4911B886">
      <w:pPr>
        <w:spacing w:line="360" w:lineRule="auto"/>
        <w:ind w:firstLine="480" w:firstLineChars="200"/>
        <w:rPr>
          <w:rFonts w:ascii="Times New Roman" w:hAnsi="Times New Roman" w:cs="Times New Roman"/>
          <w:sz w:val="24"/>
        </w:rPr>
      </w:pPr>
    </w:p>
    <w:p w14:paraId="332FDFDC">
      <w:pPr>
        <w:spacing w:line="360" w:lineRule="auto"/>
        <w:ind w:firstLine="480" w:firstLineChars="200"/>
        <w:rPr>
          <w:rFonts w:ascii="Times New Roman" w:hAnsi="Times New Roman" w:cs="Times New Roman"/>
          <w:sz w:val="24"/>
        </w:rPr>
      </w:pPr>
    </w:p>
    <w:p w14:paraId="1B740AF5">
      <w:pPr>
        <w:spacing w:line="360" w:lineRule="auto"/>
        <w:ind w:firstLine="480" w:firstLineChars="200"/>
        <w:rPr>
          <w:rFonts w:ascii="Times New Roman" w:hAnsi="Times New Roman" w:cs="Times New Roman"/>
          <w:sz w:val="24"/>
        </w:rPr>
      </w:pPr>
    </w:p>
    <w:p w14:paraId="4B2FB77F">
      <w:pPr>
        <w:spacing w:line="360" w:lineRule="auto"/>
        <w:ind w:firstLine="480" w:firstLineChars="200"/>
        <w:rPr>
          <w:rFonts w:ascii="Times New Roman" w:hAnsi="Times New Roman" w:cs="Times New Roman"/>
          <w:sz w:val="24"/>
        </w:rPr>
      </w:pPr>
    </w:p>
    <w:p w14:paraId="36ED4BFB">
      <w:pPr>
        <w:spacing w:line="360" w:lineRule="auto"/>
        <w:rPr>
          <w:rFonts w:ascii="Times New Roman" w:hAnsi="Times New Roman" w:cs="Times New Roman"/>
          <w:sz w:val="24"/>
        </w:rPr>
      </w:pPr>
    </w:p>
    <w:p w14:paraId="07E422C8">
      <w:pPr>
        <w:spacing w:line="360" w:lineRule="auto"/>
        <w:rPr>
          <w:rStyle w:val="11"/>
          <w:rFonts w:ascii="Times New Roman" w:hAnsi="Times New Roman" w:eastAsia="黑体" w:cs="Times New Roman"/>
          <w:b w:val="0"/>
          <w:kern w:val="0"/>
          <w:sz w:val="32"/>
          <w:szCs w:val="32"/>
          <w:lang w:bidi="ar"/>
        </w:rPr>
      </w:pPr>
      <w:r>
        <w:rPr>
          <w:rStyle w:val="11"/>
          <w:rFonts w:ascii="Times New Roman" w:hAnsi="Times New Roman" w:eastAsia="黑体" w:cs="Times New Roman"/>
          <w:b w:val="0"/>
          <w:kern w:val="0"/>
          <w:sz w:val="32"/>
          <w:szCs w:val="32"/>
          <w:lang w:bidi="ar"/>
        </w:rPr>
        <w:t>附件</w:t>
      </w:r>
    </w:p>
    <w:p w14:paraId="1A0ED987">
      <w:pPr>
        <w:keepNext w:val="0"/>
        <w:keepLines w:val="0"/>
        <w:pageBreakBefore w:val="0"/>
        <w:widowControl w:val="0"/>
        <w:kinsoku/>
        <w:wordWrap/>
        <w:overflowPunct/>
        <w:topLinePunct w:val="0"/>
        <w:autoSpaceDE/>
        <w:autoSpaceDN/>
        <w:bidi w:val="0"/>
        <w:adjustRightInd/>
        <w:snapToGrid/>
        <w:spacing w:line="640" w:lineRule="exact"/>
        <w:textAlignment w:val="auto"/>
        <w:rPr>
          <w:rStyle w:val="11"/>
          <w:rFonts w:ascii="Times New Roman" w:hAnsi="Times New Roman" w:eastAsia="黑体" w:cs="Times New Roman"/>
          <w:b w:val="0"/>
          <w:kern w:val="0"/>
          <w:sz w:val="32"/>
          <w:szCs w:val="32"/>
          <w:lang w:bidi="ar"/>
        </w:rPr>
      </w:pPr>
    </w:p>
    <w:p w14:paraId="6052E34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湖州学院“种质创新技术与应用”微专业</w:t>
      </w:r>
    </w:p>
    <w:p w14:paraId="537C810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报名表</w:t>
      </w:r>
    </w:p>
    <w:p w14:paraId="4D579714">
      <w:pPr>
        <w:spacing w:line="360" w:lineRule="auto"/>
        <w:ind w:firstLine="640" w:firstLineChars="200"/>
        <w:jc w:val="center"/>
        <w:rPr>
          <w:rFonts w:ascii="Times New Roman" w:hAnsi="Times New Roman" w:cs="Times New Roman"/>
          <w:b/>
          <w:bCs/>
          <w:sz w:val="32"/>
          <w:szCs w:val="36"/>
        </w:rPr>
      </w:pPr>
    </w:p>
    <w:tbl>
      <w:tblPr>
        <w:tblStyle w:val="8"/>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2268"/>
        <w:gridCol w:w="1701"/>
        <w:gridCol w:w="2552"/>
      </w:tblGrid>
      <w:tr w14:paraId="1ACB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4CABE1A4">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2268" w:type="dxa"/>
          </w:tcPr>
          <w:p w14:paraId="4C2225B6">
            <w:pPr>
              <w:spacing w:line="360" w:lineRule="auto"/>
              <w:jc w:val="center"/>
              <w:rPr>
                <w:rFonts w:hint="eastAsia" w:ascii="仿宋_GB2312" w:hAnsi="仿宋_GB2312" w:eastAsia="仿宋_GB2312" w:cs="仿宋_GB2312"/>
                <w:kern w:val="0"/>
                <w:sz w:val="24"/>
                <w:szCs w:val="24"/>
              </w:rPr>
            </w:pPr>
          </w:p>
        </w:tc>
        <w:tc>
          <w:tcPr>
            <w:tcW w:w="1701" w:type="dxa"/>
          </w:tcPr>
          <w:p w14:paraId="3A3A6D44">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性别</w:t>
            </w:r>
          </w:p>
        </w:tc>
        <w:tc>
          <w:tcPr>
            <w:tcW w:w="2552" w:type="dxa"/>
          </w:tcPr>
          <w:p w14:paraId="4DFEAE51">
            <w:pPr>
              <w:spacing w:line="360" w:lineRule="auto"/>
              <w:jc w:val="center"/>
              <w:rPr>
                <w:rFonts w:hint="eastAsia" w:ascii="仿宋_GB2312" w:hAnsi="仿宋_GB2312" w:eastAsia="仿宋_GB2312" w:cs="仿宋_GB2312"/>
                <w:kern w:val="0"/>
                <w:sz w:val="24"/>
                <w:szCs w:val="24"/>
              </w:rPr>
            </w:pPr>
          </w:p>
        </w:tc>
      </w:tr>
      <w:tr w14:paraId="0A23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761FEB81">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2268" w:type="dxa"/>
          </w:tcPr>
          <w:p w14:paraId="597BE72D">
            <w:pPr>
              <w:spacing w:line="360" w:lineRule="auto"/>
              <w:jc w:val="center"/>
              <w:rPr>
                <w:rFonts w:hint="eastAsia" w:ascii="仿宋_GB2312" w:hAnsi="仿宋_GB2312" w:eastAsia="仿宋_GB2312" w:cs="仿宋_GB2312"/>
                <w:kern w:val="0"/>
                <w:sz w:val="24"/>
                <w:szCs w:val="24"/>
              </w:rPr>
            </w:pPr>
          </w:p>
        </w:tc>
        <w:tc>
          <w:tcPr>
            <w:tcW w:w="1701" w:type="dxa"/>
          </w:tcPr>
          <w:p w14:paraId="67424B8B">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籍贯</w:t>
            </w:r>
          </w:p>
        </w:tc>
        <w:tc>
          <w:tcPr>
            <w:tcW w:w="2552" w:type="dxa"/>
          </w:tcPr>
          <w:p w14:paraId="51E8D122">
            <w:pPr>
              <w:spacing w:line="360" w:lineRule="auto"/>
              <w:jc w:val="center"/>
              <w:rPr>
                <w:rFonts w:hint="eastAsia" w:ascii="仿宋_GB2312" w:hAnsi="仿宋_GB2312" w:eastAsia="仿宋_GB2312" w:cs="仿宋_GB2312"/>
                <w:kern w:val="0"/>
                <w:sz w:val="24"/>
                <w:szCs w:val="24"/>
              </w:rPr>
            </w:pPr>
          </w:p>
        </w:tc>
      </w:tr>
      <w:tr w14:paraId="245C8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2373803D">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班级</w:t>
            </w:r>
          </w:p>
        </w:tc>
        <w:tc>
          <w:tcPr>
            <w:tcW w:w="2268" w:type="dxa"/>
          </w:tcPr>
          <w:p w14:paraId="2C34BC72">
            <w:pPr>
              <w:spacing w:line="360" w:lineRule="auto"/>
              <w:jc w:val="center"/>
              <w:rPr>
                <w:rFonts w:hint="eastAsia" w:ascii="仿宋_GB2312" w:hAnsi="仿宋_GB2312" w:eastAsia="仿宋_GB2312" w:cs="仿宋_GB2312"/>
                <w:kern w:val="0"/>
                <w:sz w:val="24"/>
                <w:szCs w:val="24"/>
              </w:rPr>
            </w:pPr>
          </w:p>
        </w:tc>
        <w:tc>
          <w:tcPr>
            <w:tcW w:w="1701" w:type="dxa"/>
          </w:tcPr>
          <w:p w14:paraId="62EF23E7">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专业</w:t>
            </w:r>
          </w:p>
        </w:tc>
        <w:tc>
          <w:tcPr>
            <w:tcW w:w="2552" w:type="dxa"/>
          </w:tcPr>
          <w:p w14:paraId="5C388CD7">
            <w:pPr>
              <w:spacing w:line="360" w:lineRule="auto"/>
              <w:jc w:val="center"/>
              <w:rPr>
                <w:rFonts w:hint="eastAsia" w:ascii="仿宋_GB2312" w:hAnsi="仿宋_GB2312" w:eastAsia="仿宋_GB2312" w:cs="仿宋_GB2312"/>
                <w:kern w:val="0"/>
                <w:sz w:val="24"/>
                <w:szCs w:val="24"/>
              </w:rPr>
            </w:pPr>
          </w:p>
        </w:tc>
      </w:tr>
      <w:tr w14:paraId="40356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12A37F94">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政治面貌</w:t>
            </w:r>
          </w:p>
        </w:tc>
        <w:tc>
          <w:tcPr>
            <w:tcW w:w="2268" w:type="dxa"/>
          </w:tcPr>
          <w:p w14:paraId="7B01D379">
            <w:pPr>
              <w:spacing w:line="360" w:lineRule="auto"/>
              <w:jc w:val="center"/>
              <w:rPr>
                <w:rFonts w:hint="eastAsia" w:ascii="仿宋_GB2312" w:hAnsi="仿宋_GB2312" w:eastAsia="仿宋_GB2312" w:cs="仿宋_GB2312"/>
                <w:kern w:val="0"/>
                <w:sz w:val="24"/>
                <w:szCs w:val="24"/>
              </w:rPr>
            </w:pPr>
          </w:p>
        </w:tc>
        <w:tc>
          <w:tcPr>
            <w:tcW w:w="1701" w:type="dxa"/>
          </w:tcPr>
          <w:p w14:paraId="084933EA">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联系电话</w:t>
            </w:r>
          </w:p>
        </w:tc>
        <w:tc>
          <w:tcPr>
            <w:tcW w:w="2552" w:type="dxa"/>
          </w:tcPr>
          <w:p w14:paraId="611B5E9A">
            <w:pPr>
              <w:spacing w:line="360" w:lineRule="auto"/>
              <w:jc w:val="center"/>
              <w:rPr>
                <w:rFonts w:hint="eastAsia" w:ascii="仿宋_GB2312" w:hAnsi="仿宋_GB2312" w:eastAsia="仿宋_GB2312" w:cs="仿宋_GB2312"/>
                <w:kern w:val="0"/>
                <w:sz w:val="24"/>
                <w:szCs w:val="24"/>
              </w:rPr>
            </w:pPr>
          </w:p>
        </w:tc>
      </w:tr>
      <w:tr w14:paraId="5E8A1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5CFFEA89">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微信号</w:t>
            </w:r>
          </w:p>
        </w:tc>
        <w:tc>
          <w:tcPr>
            <w:tcW w:w="2268" w:type="dxa"/>
          </w:tcPr>
          <w:p w14:paraId="149F2831">
            <w:pPr>
              <w:spacing w:line="360" w:lineRule="auto"/>
              <w:jc w:val="center"/>
              <w:rPr>
                <w:rFonts w:hint="eastAsia" w:ascii="仿宋_GB2312" w:hAnsi="仿宋_GB2312" w:eastAsia="仿宋_GB2312" w:cs="仿宋_GB2312"/>
                <w:kern w:val="0"/>
                <w:sz w:val="24"/>
                <w:szCs w:val="24"/>
              </w:rPr>
            </w:pPr>
          </w:p>
        </w:tc>
        <w:tc>
          <w:tcPr>
            <w:tcW w:w="1701" w:type="dxa"/>
          </w:tcPr>
          <w:p w14:paraId="5E671EC5">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平均学分绩点</w:t>
            </w:r>
          </w:p>
        </w:tc>
        <w:tc>
          <w:tcPr>
            <w:tcW w:w="2552" w:type="dxa"/>
          </w:tcPr>
          <w:p w14:paraId="7C4121C0">
            <w:pPr>
              <w:spacing w:line="360" w:lineRule="auto"/>
              <w:jc w:val="center"/>
              <w:rPr>
                <w:rFonts w:hint="eastAsia" w:ascii="仿宋_GB2312" w:hAnsi="仿宋_GB2312" w:eastAsia="仿宋_GB2312" w:cs="仿宋_GB2312"/>
                <w:kern w:val="0"/>
                <w:sz w:val="24"/>
                <w:szCs w:val="24"/>
              </w:rPr>
            </w:pPr>
          </w:p>
        </w:tc>
      </w:tr>
      <w:tr w14:paraId="1C81D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984" w:type="dxa"/>
          </w:tcPr>
          <w:p w14:paraId="78BDA10D">
            <w:pPr>
              <w:spacing w:line="360" w:lineRule="auto"/>
              <w:ind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就业愿景</w:t>
            </w:r>
          </w:p>
        </w:tc>
        <w:tc>
          <w:tcPr>
            <w:tcW w:w="6521" w:type="dxa"/>
            <w:gridSpan w:val="3"/>
          </w:tcPr>
          <w:p w14:paraId="193305D7">
            <w:pPr>
              <w:spacing w:line="360" w:lineRule="auto"/>
              <w:jc w:val="left"/>
              <w:rPr>
                <w:rFonts w:hint="eastAsia" w:ascii="仿宋_GB2312" w:hAnsi="仿宋_GB2312" w:eastAsia="仿宋_GB2312" w:cs="仿宋_GB2312"/>
                <w:kern w:val="0"/>
                <w:sz w:val="24"/>
                <w:szCs w:val="24"/>
              </w:rPr>
            </w:pPr>
          </w:p>
        </w:tc>
      </w:tr>
      <w:tr w14:paraId="31347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984" w:type="dxa"/>
            <w:vAlign w:val="center"/>
          </w:tcPr>
          <w:p w14:paraId="7ACA5FCC">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报名原因</w:t>
            </w:r>
          </w:p>
        </w:tc>
        <w:tc>
          <w:tcPr>
            <w:tcW w:w="6521" w:type="dxa"/>
            <w:gridSpan w:val="3"/>
            <w:vAlign w:val="center"/>
          </w:tcPr>
          <w:p w14:paraId="3416C39C">
            <w:pPr>
              <w:spacing w:line="360" w:lineRule="auto"/>
              <w:jc w:val="left"/>
              <w:rPr>
                <w:rFonts w:hint="eastAsia" w:ascii="仿宋_GB2312" w:hAnsi="仿宋_GB2312" w:eastAsia="仿宋_GB2312" w:cs="仿宋_GB2312"/>
                <w:kern w:val="0"/>
                <w:sz w:val="24"/>
                <w:szCs w:val="24"/>
              </w:rPr>
            </w:pPr>
          </w:p>
        </w:tc>
      </w:tr>
      <w:tr w14:paraId="258D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1984" w:type="dxa"/>
            <w:vAlign w:val="center"/>
          </w:tcPr>
          <w:p w14:paraId="0A53FC29">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校园经历</w:t>
            </w:r>
          </w:p>
          <w:p w14:paraId="6B2691EC">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/实习经历</w:t>
            </w:r>
          </w:p>
        </w:tc>
        <w:tc>
          <w:tcPr>
            <w:tcW w:w="6521" w:type="dxa"/>
            <w:gridSpan w:val="3"/>
            <w:vAlign w:val="center"/>
          </w:tcPr>
          <w:p w14:paraId="112A5B18">
            <w:pPr>
              <w:spacing w:line="360" w:lineRule="auto"/>
              <w:jc w:val="left"/>
              <w:rPr>
                <w:rFonts w:hint="eastAsia" w:ascii="仿宋_GB2312" w:hAnsi="仿宋_GB2312" w:eastAsia="仿宋_GB2312" w:cs="仿宋_GB2312"/>
                <w:kern w:val="0"/>
                <w:sz w:val="24"/>
                <w:szCs w:val="24"/>
              </w:rPr>
            </w:pPr>
          </w:p>
        </w:tc>
      </w:tr>
      <w:tr w14:paraId="53DB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2" w:hRule="atLeast"/>
          <w:jc w:val="center"/>
        </w:trPr>
        <w:tc>
          <w:tcPr>
            <w:tcW w:w="1984" w:type="dxa"/>
            <w:vAlign w:val="center"/>
          </w:tcPr>
          <w:p w14:paraId="2D9B0459">
            <w:pPr>
              <w:spacing w:line="360" w:lineRule="auto"/>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自我评价</w:t>
            </w:r>
          </w:p>
        </w:tc>
        <w:tc>
          <w:tcPr>
            <w:tcW w:w="6521" w:type="dxa"/>
            <w:gridSpan w:val="3"/>
            <w:vAlign w:val="center"/>
          </w:tcPr>
          <w:p w14:paraId="7AE7B425">
            <w:pPr>
              <w:widowControl/>
              <w:adjustRightInd w:val="0"/>
              <w:snapToGrid w:val="0"/>
              <w:spacing w:line="300" w:lineRule="auto"/>
              <w:jc w:val="left"/>
              <w:rPr>
                <w:rFonts w:hint="eastAsia" w:ascii="仿宋_GB2312" w:hAnsi="仿宋_GB2312" w:eastAsia="仿宋_GB2312" w:cs="仿宋_GB2312"/>
                <w:color w:val="FF0000"/>
                <w:kern w:val="0"/>
                <w:sz w:val="24"/>
                <w:szCs w:val="24"/>
              </w:rPr>
            </w:pPr>
          </w:p>
        </w:tc>
      </w:tr>
    </w:tbl>
    <w:p w14:paraId="08E510B6">
      <w:pPr>
        <w:spacing w:line="360" w:lineRule="auto"/>
        <w:rPr>
          <w:rFonts w:hint="eastAsia" w:ascii="Times New Roman" w:hAnsi="Times New Roman"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EEC"/>
    <w:rsid w:val="000320C6"/>
    <w:rsid w:val="00071568"/>
    <w:rsid w:val="000F4DFF"/>
    <w:rsid w:val="00291BCF"/>
    <w:rsid w:val="00493A3F"/>
    <w:rsid w:val="004C5F01"/>
    <w:rsid w:val="004F5362"/>
    <w:rsid w:val="00513F91"/>
    <w:rsid w:val="00533B54"/>
    <w:rsid w:val="00585C9A"/>
    <w:rsid w:val="005A10EA"/>
    <w:rsid w:val="005F240C"/>
    <w:rsid w:val="00657B01"/>
    <w:rsid w:val="006A34CA"/>
    <w:rsid w:val="00730556"/>
    <w:rsid w:val="0077227A"/>
    <w:rsid w:val="008708EA"/>
    <w:rsid w:val="00887455"/>
    <w:rsid w:val="009F649E"/>
    <w:rsid w:val="00A2649F"/>
    <w:rsid w:val="00AF43AC"/>
    <w:rsid w:val="00C94EEC"/>
    <w:rsid w:val="00CC5920"/>
    <w:rsid w:val="00D94F91"/>
    <w:rsid w:val="00DE6ABD"/>
    <w:rsid w:val="00FB03DD"/>
    <w:rsid w:val="0EF04F26"/>
    <w:rsid w:val="3B321448"/>
    <w:rsid w:val="4586066B"/>
    <w:rsid w:val="522D75C5"/>
    <w:rsid w:val="55CA71B9"/>
    <w:rsid w:val="665F7C74"/>
    <w:rsid w:val="73035F77"/>
    <w:rsid w:val="769C2AF0"/>
    <w:rsid w:val="78085CD1"/>
    <w:rsid w:val="79186905"/>
    <w:rsid w:val="7C624BFE"/>
    <w:rsid w:val="CFD7F4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Title"/>
    <w:basedOn w:val="1"/>
    <w:next w:val="1"/>
    <w:link w:val="14"/>
    <w:qFormat/>
    <w:uiPriority w:val="10"/>
    <w:pPr>
      <w:spacing w:before="240" w:after="60"/>
      <w:jc w:val="center"/>
      <w:outlineLvl w:val="0"/>
    </w:pPr>
    <w:rPr>
      <w:rFonts w:asciiTheme="majorHAnsi" w:hAnsiTheme="majorHAnsi" w:eastAsiaTheme="majorEastAsia" w:cstheme="majorBidi"/>
      <w:b/>
      <w:bCs/>
      <w:sz w:val="32"/>
      <w:szCs w:val="32"/>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标题 1 字符"/>
    <w:basedOn w:val="10"/>
    <w:link w:val="2"/>
    <w:qFormat/>
    <w:uiPriority w:val="9"/>
    <w:rPr>
      <w:rFonts w:ascii="宋体" w:hAnsi="宋体" w:eastAsia="宋体" w:cs="宋体"/>
      <w:b/>
      <w:bCs/>
      <w:kern w:val="36"/>
      <w:sz w:val="48"/>
      <w:szCs w:val="48"/>
    </w:rPr>
  </w:style>
  <w:style w:type="character" w:customStyle="1" w:styleId="13">
    <w:name w:val="标题 2 字符"/>
    <w:basedOn w:val="10"/>
    <w:link w:val="3"/>
    <w:qFormat/>
    <w:uiPriority w:val="9"/>
    <w:rPr>
      <w:rFonts w:ascii="宋体" w:hAnsi="宋体" w:eastAsia="宋体" w:cs="宋体"/>
      <w:b/>
      <w:bCs/>
      <w:kern w:val="0"/>
      <w:sz w:val="36"/>
      <w:szCs w:val="36"/>
    </w:rPr>
  </w:style>
  <w:style w:type="character" w:customStyle="1" w:styleId="14">
    <w:name w:val="标题 字符"/>
    <w:basedOn w:val="10"/>
    <w:link w:val="7"/>
    <w:qFormat/>
    <w:uiPriority w:val="10"/>
    <w:rPr>
      <w:rFonts w:asciiTheme="majorHAnsi" w:hAnsiTheme="majorHAnsi" w:eastAsiaTheme="majorEastAsia" w:cstheme="majorBidi"/>
      <w:b/>
      <w:bCs/>
      <w:sz w:val="32"/>
      <w:szCs w:val="32"/>
    </w:rPr>
  </w:style>
  <w:style w:type="character" w:customStyle="1" w:styleId="15">
    <w:name w:val="页眉 字符"/>
    <w:basedOn w:val="10"/>
    <w:link w:val="5"/>
    <w:qFormat/>
    <w:uiPriority w:val="99"/>
    <w:rPr>
      <w:sz w:val="18"/>
      <w:szCs w:val="18"/>
    </w:rPr>
  </w:style>
  <w:style w:type="character" w:customStyle="1" w:styleId="16">
    <w:name w:val="页脚 字符"/>
    <w:basedOn w:val="10"/>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1642</Words>
  <Characters>1762</Characters>
  <Lines>98</Lines>
  <Paragraphs>100</Paragraphs>
  <TotalTime>0</TotalTime>
  <ScaleCrop>false</ScaleCrop>
  <LinksUpToDate>false</LinksUpToDate>
  <CharactersWithSpaces>1799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2025-05-26T09:28:00Z</dcterms:created>
  <dc:creator>Tao Xiong</dc:creator>
  <cp:lastModifiedBy>WPS_1762353464</cp:lastModifiedBy>
  <dcterms:modified xsi:type="dcterms:W3CDTF">2026-04-03T00:34:18Z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eyJoZGlkIjoiYjY2OTE0ZDBhZGZiNWU4ZGJkOTBkNTY5ZGFkNjU2MjMiLCJ1c2VySWQiOiIxNzYzNDkwNTM2In0=</vt:lpwstr>
  </property>
  <property fmtid="{D5CDD505-2E9C-101B-9397-08002B2CF9AE}" pid="3" name="KSOProductBuildVer">
    <vt:lpwstr>2052-12.1.0.25225</vt:lpwstr>
  </property>
  <property fmtid="{D5CDD505-2E9C-101B-9397-08002B2CF9AE}" pid="4" name="ICV">
    <vt:lpwstr>710CEF257BD44C7BA52C16E697BFBEC4_13</vt:lpwstr>
  </property>
</Properties>
</file>