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4B0E0C">
      <w:pPr>
        <w:pStyle w:val="25"/>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关于开展</w:t>
      </w:r>
      <w:r>
        <w:rPr>
          <w:rFonts w:hint="default" w:ascii="Times New Roman" w:hAnsi="Times New Roman" w:eastAsia="方正小标宋简体" w:cs="Times New Roman"/>
          <w:b w:val="0"/>
          <w:bCs w:val="0"/>
          <w:sz w:val="44"/>
          <w:szCs w:val="44"/>
        </w:rPr>
        <w:t>2024-2025</w:t>
      </w:r>
      <w:r>
        <w:rPr>
          <w:rFonts w:hint="eastAsia" w:ascii="方正小标宋简体" w:hAnsi="方正小标宋简体" w:eastAsia="方正小标宋简体" w:cs="方正小标宋简体"/>
          <w:b w:val="0"/>
          <w:bCs w:val="0"/>
          <w:sz w:val="44"/>
          <w:szCs w:val="44"/>
        </w:rPr>
        <w:t>学年第二学期教学材料</w:t>
      </w:r>
    </w:p>
    <w:p w14:paraId="377FD7C9">
      <w:pPr>
        <w:pStyle w:val="25"/>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专项</w:t>
      </w:r>
      <w:r>
        <w:rPr>
          <w:rFonts w:hint="eastAsia" w:ascii="方正小标宋简体" w:hAnsi="方正小标宋简体" w:eastAsia="方正小标宋简体" w:cs="方正小标宋简体"/>
          <w:b w:val="0"/>
          <w:bCs w:val="0"/>
          <w:sz w:val="44"/>
          <w:szCs w:val="44"/>
        </w:rPr>
        <w:t>检查工作的通知</w:t>
      </w:r>
    </w:p>
    <w:p w14:paraId="15A3CAE8">
      <w:pPr>
        <w:pStyle w:val="3"/>
        <w:pageBreakBefore w:val="0"/>
        <w:widowControl w:val="0"/>
        <w:kinsoku/>
        <w:wordWrap/>
        <w:overflowPunct/>
        <w:topLinePunct w:val="0"/>
        <w:autoSpaceDE/>
        <w:autoSpaceDN/>
        <w:bidi w:val="0"/>
        <w:adjustRightInd/>
        <w:snapToGrid/>
        <w:textAlignment w:val="auto"/>
      </w:pPr>
    </w:p>
    <w:p w14:paraId="45DCDA75">
      <w:pPr>
        <w:pStyle w:val="3"/>
        <w:pageBreakBefore w:val="0"/>
        <w:widowControl w:val="0"/>
        <w:kinsoku/>
        <w:wordWrap/>
        <w:overflowPunct/>
        <w:topLinePunct w:val="0"/>
        <w:autoSpaceDE/>
        <w:autoSpaceDN/>
        <w:bidi w:val="0"/>
        <w:adjustRightInd/>
        <w:snapToGrid/>
        <w:spacing w:before="0" w:after="0" w:line="560" w:lineRule="exact"/>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w:t>
      </w:r>
      <w:r>
        <w:rPr>
          <w:rFonts w:hint="eastAsia" w:ascii="Times New Roman" w:hAnsi="Times New Roman" w:eastAsia="仿宋_GB2312" w:cs="Times New Roman"/>
          <w:sz w:val="32"/>
          <w:szCs w:val="32"/>
          <w:lang w:val="en-US" w:eastAsia="zh-CN"/>
        </w:rPr>
        <w:t>二级学院</w:t>
      </w:r>
      <w:r>
        <w:rPr>
          <w:rFonts w:hint="default" w:ascii="Times New Roman" w:hAnsi="Times New Roman" w:eastAsia="仿宋_GB2312" w:cs="Times New Roman"/>
          <w:sz w:val="32"/>
          <w:szCs w:val="32"/>
        </w:rPr>
        <w:t>：</w:t>
      </w:r>
    </w:p>
    <w:p w14:paraId="4668438C">
      <w:pPr>
        <w:pStyle w:val="3"/>
        <w:pageBreakBefore w:val="0"/>
        <w:widowControl w:val="0"/>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为进一步加强教学过程管理，规范教学档案建设，确保教学业务材料的真实性、完整性与逻辑性，切实支撑</w:t>
      </w:r>
      <w:r>
        <w:rPr>
          <w:rFonts w:hint="default" w:ascii="Times New Roman" w:hAnsi="Times New Roman" w:eastAsia="仿宋_GB2312" w:cs="Times New Roman"/>
          <w:sz w:val="32"/>
          <w:szCs w:val="32"/>
          <w:lang w:val="en-US" w:eastAsia="zh-CN"/>
        </w:rPr>
        <w:t>合格</w:t>
      </w:r>
      <w:r>
        <w:rPr>
          <w:rFonts w:hint="default" w:ascii="Times New Roman" w:hAnsi="Times New Roman" w:eastAsia="仿宋_GB2312" w:cs="Times New Roman"/>
          <w:sz w:val="32"/>
          <w:szCs w:val="32"/>
        </w:rPr>
        <w:t>评估，并为教学工作量核算提供真实、可靠、可追溯的依据，根据学校教学工作统一部署，决定组织开展教学材料专项检查。现将有关事项通知如下：</w:t>
      </w:r>
    </w:p>
    <w:p w14:paraId="1555C989">
      <w:pPr>
        <w:pStyle w:val="5"/>
        <w:pageBreakBefore w:val="0"/>
        <w:widowControl w:val="0"/>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sz w:val="32"/>
          <w:szCs w:val="32"/>
        </w:rPr>
      </w:pPr>
      <w:bookmarkStart w:id="0" w:name="一检查目的与原则"/>
      <w:r>
        <w:rPr>
          <w:rFonts w:hint="eastAsia" w:ascii="黑体" w:hAnsi="黑体" w:eastAsia="黑体" w:cs="黑体"/>
          <w:b w:val="0"/>
          <w:bCs w:val="0"/>
          <w:sz w:val="32"/>
          <w:szCs w:val="32"/>
        </w:rPr>
        <w:t>一、检查目的与原则</w:t>
      </w:r>
    </w:p>
    <w:p w14:paraId="7AC7B29A">
      <w:pPr>
        <w:pStyle w:val="6"/>
        <w:pageBreakBefore w:val="0"/>
        <w:widowControl w:val="0"/>
        <w:kinsoku/>
        <w:wordWrap/>
        <w:overflowPunct/>
        <w:topLinePunct w:val="0"/>
        <w:autoSpaceDE/>
        <w:autoSpaceDN/>
        <w:bidi w:val="0"/>
        <w:adjustRightInd/>
        <w:snapToGrid/>
        <w:spacing w:before="0" w:after="0" w:line="560" w:lineRule="exact"/>
        <w:ind w:left="0" w:firstLine="643" w:firstLineChars="200"/>
        <w:jc w:val="both"/>
        <w:textAlignment w:val="auto"/>
        <w:rPr>
          <w:rFonts w:hint="eastAsia" w:ascii="楷体_GB2312" w:hAnsi="楷体_GB2312" w:eastAsia="楷体_GB2312" w:cs="楷体_GB2312"/>
          <w:b/>
          <w:bCs w:val="0"/>
          <w:i w:val="0"/>
          <w:iCs/>
          <w:sz w:val="32"/>
          <w:szCs w:val="32"/>
        </w:rPr>
      </w:pPr>
      <w:bookmarkStart w:id="1" w:name="一检查目的"/>
      <w:r>
        <w:rPr>
          <w:rFonts w:hint="eastAsia" w:ascii="楷体_GB2312" w:hAnsi="楷体_GB2312" w:eastAsia="楷体_GB2312" w:cs="楷体_GB2312"/>
          <w:b/>
          <w:bCs w:val="0"/>
          <w:i w:val="0"/>
          <w:iCs/>
          <w:sz w:val="32"/>
          <w:szCs w:val="32"/>
        </w:rPr>
        <w:t>（一）检查目的</w:t>
      </w:r>
    </w:p>
    <w:p w14:paraId="504539EC">
      <w:pPr>
        <w:pStyle w:val="26"/>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en-US" w:bidi="ar-SA"/>
        </w:rPr>
        <w:t>1.</w:t>
      </w:r>
      <w:r>
        <w:rPr>
          <w:rFonts w:hint="default" w:ascii="Times New Roman" w:hAnsi="Times New Roman" w:eastAsia="仿宋_GB2312" w:cs="Times New Roman"/>
          <w:b/>
          <w:bCs/>
          <w:sz w:val="32"/>
          <w:szCs w:val="32"/>
        </w:rPr>
        <w:t>核实教学任务真实性</w:t>
      </w:r>
      <w:r>
        <w:rPr>
          <w:rFonts w:hint="default" w:ascii="Times New Roman" w:hAnsi="Times New Roman" w:eastAsia="仿宋_GB2312" w:cs="Times New Roman"/>
          <w:sz w:val="32"/>
          <w:szCs w:val="32"/>
        </w:rPr>
        <w:t>：通过全面核查各类教学活动的原始记录和过程性材料，确认教师实际承担的教学行为真实发生，杜绝虚报、挂名等不实现象。</w:t>
      </w:r>
    </w:p>
    <w:p w14:paraId="1DABF114">
      <w:pPr>
        <w:pStyle w:val="26"/>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en-US" w:bidi="ar-SA"/>
        </w:rPr>
        <w:t>2.</w:t>
      </w:r>
      <w:r>
        <w:rPr>
          <w:rFonts w:hint="default" w:ascii="Times New Roman" w:hAnsi="Times New Roman" w:eastAsia="仿宋_GB2312" w:cs="Times New Roman"/>
          <w:b/>
          <w:bCs/>
          <w:sz w:val="32"/>
          <w:szCs w:val="32"/>
        </w:rPr>
        <w:t>支撑教学工作量核算</w:t>
      </w:r>
      <w:r>
        <w:rPr>
          <w:rFonts w:hint="default" w:ascii="Times New Roman" w:hAnsi="Times New Roman" w:eastAsia="仿宋_GB2312" w:cs="Times New Roman"/>
          <w:sz w:val="32"/>
          <w:szCs w:val="32"/>
        </w:rPr>
        <w:t>：以完整、规范、闭环的档案材料作为教学工作量认定的核心依据，确保工作量分配公平、公正、有据可依。</w:t>
      </w:r>
    </w:p>
    <w:p w14:paraId="4E34CEF5">
      <w:pPr>
        <w:pStyle w:val="26"/>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en-US" w:bidi="ar-SA"/>
        </w:rPr>
        <w:t>3.</w:t>
      </w:r>
      <w:r>
        <w:rPr>
          <w:rFonts w:hint="eastAsia" w:ascii="Times New Roman" w:hAnsi="Times New Roman" w:eastAsia="仿宋_GB2312" w:cs="Times New Roman"/>
          <w:b/>
          <w:bCs/>
          <w:sz w:val="32"/>
          <w:szCs w:val="32"/>
          <w:lang w:val="en-US" w:eastAsia="zh-CN" w:bidi="ar-SA"/>
        </w:rPr>
        <w:t>对接</w:t>
      </w:r>
      <w:r>
        <w:rPr>
          <w:rFonts w:hint="default" w:ascii="Times New Roman" w:hAnsi="Times New Roman" w:eastAsia="仿宋_GB2312" w:cs="Times New Roman"/>
          <w:b/>
          <w:bCs/>
          <w:sz w:val="32"/>
          <w:szCs w:val="32"/>
        </w:rPr>
        <w:t>合格评估需求</w:t>
      </w:r>
      <w:r>
        <w:rPr>
          <w:rFonts w:hint="default" w:ascii="Times New Roman" w:hAnsi="Times New Roman" w:eastAsia="仿宋_GB2312" w:cs="Times New Roman"/>
          <w:sz w:val="32"/>
          <w:szCs w:val="32"/>
        </w:rPr>
        <w:t>：配合学校迎接</w:t>
      </w:r>
      <w:r>
        <w:rPr>
          <w:rFonts w:hint="default" w:ascii="Times New Roman" w:hAnsi="Times New Roman" w:eastAsia="仿宋_GB2312" w:cs="Times New Roman"/>
          <w:sz w:val="32"/>
          <w:szCs w:val="32"/>
          <w:lang w:val="en-US" w:eastAsia="zh-CN"/>
        </w:rPr>
        <w:t>合格</w:t>
      </w:r>
      <w:r>
        <w:rPr>
          <w:rFonts w:hint="default" w:ascii="Times New Roman" w:hAnsi="Times New Roman" w:eastAsia="仿宋_GB2312" w:cs="Times New Roman"/>
          <w:sz w:val="32"/>
          <w:szCs w:val="32"/>
        </w:rPr>
        <w:t>评估，实现教学全过程“可追溯、可验证、可支撑”，提升教学管理规范化水平。</w:t>
      </w:r>
    </w:p>
    <w:bookmarkEnd w:id="1"/>
    <w:p w14:paraId="786EDFB5">
      <w:pPr>
        <w:pStyle w:val="6"/>
        <w:pageBreakBefore w:val="0"/>
        <w:widowControl w:val="0"/>
        <w:kinsoku/>
        <w:wordWrap/>
        <w:overflowPunct/>
        <w:topLinePunct w:val="0"/>
        <w:autoSpaceDE/>
        <w:autoSpaceDN/>
        <w:bidi w:val="0"/>
        <w:adjustRightInd/>
        <w:snapToGrid/>
        <w:spacing w:before="0" w:after="0" w:line="560" w:lineRule="exact"/>
        <w:ind w:left="0" w:firstLine="643" w:firstLineChars="200"/>
        <w:jc w:val="both"/>
        <w:textAlignment w:val="auto"/>
        <w:rPr>
          <w:rFonts w:hint="eastAsia" w:ascii="楷体_GB2312" w:hAnsi="楷体_GB2312" w:eastAsia="楷体_GB2312" w:cs="楷体_GB2312"/>
          <w:b/>
          <w:bCs w:val="0"/>
          <w:i w:val="0"/>
          <w:iCs/>
          <w:sz w:val="32"/>
          <w:szCs w:val="32"/>
        </w:rPr>
      </w:pPr>
      <w:bookmarkStart w:id="2" w:name="二检查原则"/>
      <w:r>
        <w:rPr>
          <w:rFonts w:hint="eastAsia" w:ascii="楷体_GB2312" w:hAnsi="楷体_GB2312" w:eastAsia="楷体_GB2312" w:cs="楷体_GB2312"/>
          <w:b/>
          <w:bCs w:val="0"/>
          <w:i w:val="0"/>
          <w:iCs/>
          <w:sz w:val="32"/>
          <w:szCs w:val="32"/>
        </w:rPr>
        <w:t>（二）检查原则</w:t>
      </w:r>
    </w:p>
    <w:p w14:paraId="06A9A618">
      <w:pPr>
        <w:pStyle w:val="26"/>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bidi="ar-SA"/>
        </w:rPr>
        <w:t>1</w:t>
      </w:r>
      <w:r>
        <w:rPr>
          <w:rFonts w:hint="default" w:ascii="Times New Roman" w:hAnsi="Times New Roman" w:eastAsia="仿宋_GB2312" w:cs="Times New Roman"/>
          <w:sz w:val="32"/>
          <w:szCs w:val="32"/>
          <w:lang w:val="en-US" w:eastAsia="en-US" w:bidi="ar-SA"/>
        </w:rPr>
        <w:t>.</w:t>
      </w:r>
      <w:r>
        <w:rPr>
          <w:rFonts w:hint="default" w:ascii="Times New Roman" w:hAnsi="Times New Roman" w:eastAsia="仿宋_GB2312" w:cs="Times New Roman"/>
          <w:b/>
          <w:bCs/>
          <w:sz w:val="32"/>
          <w:szCs w:val="32"/>
        </w:rPr>
        <w:t>闭环管理</w:t>
      </w:r>
      <w:r>
        <w:rPr>
          <w:rFonts w:hint="default" w:ascii="Times New Roman" w:hAnsi="Times New Roman" w:eastAsia="仿宋_GB2312" w:cs="Times New Roman"/>
          <w:sz w:val="32"/>
          <w:szCs w:val="32"/>
        </w:rPr>
        <w:t>：所有教学活动须形成“任务下达—过程实施—</w:t>
      </w:r>
      <w:r>
        <w:rPr>
          <w:rFonts w:hint="eastAsia" w:ascii="Times New Roman" w:hAnsi="Times New Roman" w:eastAsia="仿宋_GB2312" w:cs="Times New Roman"/>
          <w:sz w:val="32"/>
          <w:szCs w:val="32"/>
          <w:lang w:val="en-US" w:eastAsia="zh-CN"/>
        </w:rPr>
        <w:t>材料</w:t>
      </w:r>
      <w:r>
        <w:rPr>
          <w:rFonts w:hint="default" w:ascii="Times New Roman" w:hAnsi="Times New Roman" w:eastAsia="仿宋_GB2312" w:cs="Times New Roman"/>
          <w:sz w:val="32"/>
          <w:szCs w:val="32"/>
        </w:rPr>
        <w:t>归档—工作量认定”的完整证据链，各环节材料应相互印证、逻辑自洽。</w:t>
      </w:r>
    </w:p>
    <w:p w14:paraId="38FE2ACD">
      <w:pPr>
        <w:pStyle w:val="26"/>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bidi="ar-SA"/>
        </w:rPr>
        <w:t>2</w:t>
      </w:r>
      <w:r>
        <w:rPr>
          <w:rFonts w:hint="default" w:ascii="Times New Roman" w:hAnsi="Times New Roman" w:eastAsia="仿宋_GB2312" w:cs="Times New Roman"/>
          <w:sz w:val="32"/>
          <w:szCs w:val="32"/>
          <w:lang w:val="en-US" w:eastAsia="en-US" w:bidi="ar-SA"/>
        </w:rPr>
        <w:t>.</w:t>
      </w:r>
      <w:r>
        <w:rPr>
          <w:rFonts w:hint="default" w:ascii="Times New Roman" w:hAnsi="Times New Roman" w:eastAsia="仿宋_GB2312" w:cs="Times New Roman"/>
          <w:b/>
          <w:bCs/>
          <w:sz w:val="32"/>
          <w:szCs w:val="32"/>
        </w:rPr>
        <w:t>信息一致</w:t>
      </w:r>
      <w:r>
        <w:rPr>
          <w:rFonts w:hint="default" w:ascii="Times New Roman" w:hAnsi="Times New Roman" w:eastAsia="仿宋_GB2312" w:cs="Times New Roman"/>
          <w:sz w:val="32"/>
          <w:szCs w:val="32"/>
        </w:rPr>
        <w:t>：材料中的时间、人员、课程（项目）名称、签字等关键信息必须一致，不得出现矛盾或逻辑漏洞。</w:t>
      </w:r>
    </w:p>
    <w:p w14:paraId="506B6539">
      <w:pPr>
        <w:pStyle w:val="26"/>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bidi="ar-SA"/>
        </w:rPr>
        <w:t>3</w:t>
      </w:r>
      <w:r>
        <w:rPr>
          <w:rFonts w:hint="default" w:ascii="Times New Roman" w:hAnsi="Times New Roman" w:eastAsia="仿宋_GB2312" w:cs="Times New Roman"/>
          <w:sz w:val="32"/>
          <w:szCs w:val="32"/>
          <w:lang w:val="en-US" w:eastAsia="en-US" w:bidi="ar-SA"/>
        </w:rPr>
        <w:t>.</w:t>
      </w:r>
      <w:r>
        <w:rPr>
          <w:rFonts w:hint="default" w:ascii="Times New Roman" w:hAnsi="Times New Roman" w:eastAsia="仿宋_GB2312" w:cs="Times New Roman"/>
          <w:b/>
          <w:bCs/>
          <w:sz w:val="32"/>
          <w:szCs w:val="32"/>
        </w:rPr>
        <w:t>行为真实</w:t>
      </w:r>
      <w:r>
        <w:rPr>
          <w:rFonts w:hint="default" w:ascii="Times New Roman" w:hAnsi="Times New Roman" w:eastAsia="仿宋_GB2312" w:cs="Times New Roman"/>
          <w:sz w:val="32"/>
          <w:szCs w:val="32"/>
        </w:rPr>
        <w:t>：凡计入教学工作量的任务，必须有真实</w:t>
      </w:r>
      <w:r>
        <w:rPr>
          <w:rFonts w:hint="default" w:ascii="Times New Roman" w:hAnsi="Times New Roman" w:eastAsia="仿宋_GB2312" w:cs="Times New Roman"/>
          <w:sz w:val="32"/>
          <w:szCs w:val="32"/>
          <w:lang w:val="en-US" w:eastAsia="zh-CN"/>
        </w:rPr>
        <w:t>教学或</w:t>
      </w:r>
      <w:r>
        <w:rPr>
          <w:rFonts w:hint="default" w:ascii="Times New Roman" w:hAnsi="Times New Roman" w:eastAsia="仿宋_GB2312" w:cs="Times New Roman"/>
          <w:sz w:val="32"/>
          <w:szCs w:val="32"/>
        </w:rPr>
        <w:t>指导行为</w:t>
      </w:r>
      <w:r>
        <w:rPr>
          <w:rFonts w:hint="default" w:ascii="Times New Roman" w:hAnsi="Times New Roman" w:eastAsia="仿宋_GB2312" w:cs="Times New Roman"/>
          <w:sz w:val="32"/>
          <w:szCs w:val="32"/>
          <w:lang w:val="en-US" w:eastAsia="zh-CN"/>
        </w:rPr>
        <w:t>与</w:t>
      </w:r>
      <w:r>
        <w:rPr>
          <w:rFonts w:hint="default" w:ascii="Times New Roman" w:hAnsi="Times New Roman" w:eastAsia="仿宋_GB2312" w:cs="Times New Roman"/>
          <w:sz w:val="32"/>
          <w:szCs w:val="32"/>
        </w:rPr>
        <w:t>相应过程记录</w:t>
      </w:r>
      <w:r>
        <w:rPr>
          <w:rFonts w:hint="eastAsia" w:ascii="Times New Roman" w:hAnsi="Times New Roman" w:eastAsia="仿宋_GB2312" w:cs="Times New Roman"/>
          <w:sz w:val="32"/>
          <w:szCs w:val="32"/>
          <w:lang w:val="en-US" w:eastAsia="zh-CN"/>
        </w:rPr>
        <w:t>材料</w:t>
      </w:r>
      <w:r>
        <w:rPr>
          <w:rFonts w:hint="default" w:ascii="Times New Roman" w:hAnsi="Times New Roman" w:eastAsia="仿宋_GB2312" w:cs="Times New Roman"/>
          <w:sz w:val="32"/>
          <w:szCs w:val="32"/>
        </w:rPr>
        <w:t>；无实质性</w:t>
      </w:r>
      <w:r>
        <w:rPr>
          <w:rFonts w:hint="eastAsia" w:ascii="Times New Roman" w:hAnsi="Times New Roman" w:eastAsia="仿宋_GB2312" w:cs="Times New Roman"/>
          <w:sz w:val="32"/>
          <w:szCs w:val="32"/>
          <w:lang w:val="en-US" w:eastAsia="zh-CN"/>
        </w:rPr>
        <w:t>教学</w:t>
      </w:r>
      <w:r>
        <w:rPr>
          <w:rFonts w:hint="default" w:ascii="Times New Roman" w:hAnsi="Times New Roman" w:eastAsia="仿宋_GB2312" w:cs="Times New Roman"/>
          <w:sz w:val="32"/>
          <w:szCs w:val="32"/>
        </w:rPr>
        <w:t>指导、无过程留痕者，不得纳入工作量统计范围。</w:t>
      </w:r>
    </w:p>
    <w:bookmarkEnd w:id="0"/>
    <w:bookmarkEnd w:id="2"/>
    <w:p w14:paraId="251AEFCC">
      <w:pPr>
        <w:pStyle w:val="5"/>
        <w:pageBreakBefore w:val="0"/>
        <w:widowControl w:val="0"/>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sz w:val="32"/>
          <w:szCs w:val="32"/>
        </w:rPr>
      </w:pPr>
      <w:bookmarkStart w:id="3" w:name="二检查范围与内容"/>
      <w:r>
        <w:rPr>
          <w:rFonts w:hint="eastAsia" w:ascii="黑体" w:hAnsi="黑体" w:eastAsia="黑体" w:cs="黑体"/>
          <w:b w:val="0"/>
          <w:bCs w:val="0"/>
          <w:sz w:val="32"/>
          <w:szCs w:val="32"/>
        </w:rPr>
        <w:t>二、检查范围与内容</w:t>
      </w:r>
    </w:p>
    <w:p w14:paraId="3429F2E4">
      <w:pPr>
        <w:pStyle w:val="25"/>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本次检查覆盖2024-2025学年第二学期所有涉及教学工作量核算的教学环节</w:t>
      </w:r>
      <w:r>
        <w:rPr>
          <w:rFonts w:hint="eastAsia" w:ascii="Times New Roman" w:hAnsi="Times New Roman" w:eastAsia="仿宋_GB2312" w:cs="Times New Roman"/>
          <w:sz w:val="32"/>
          <w:szCs w:val="32"/>
          <w:lang w:val="en-US" w:eastAsia="zh-CN"/>
        </w:rPr>
        <w:t>产生</w:t>
      </w:r>
      <w:r>
        <w:rPr>
          <w:rFonts w:hint="default" w:ascii="Times New Roman" w:hAnsi="Times New Roman" w:eastAsia="仿宋_GB2312" w:cs="Times New Roman"/>
          <w:sz w:val="32"/>
          <w:szCs w:val="32"/>
        </w:rPr>
        <w:t>教学业务材料</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含课堂教学授课过程材料、考核归档材料与工作量核算，毕业论文（设计）指导过程存档材料与工作量核算，实习教学指导过程存档材料与工作量核算，学科竞赛指导、创新创业项目指导、社团活动指导等纳入教学工作量核算的实践类教学活动产生的过程存档材料与工作量核算。材料清单与检查要求详见附件《2024-2025-2学期教学档案材料检查表》。</w:t>
      </w:r>
    </w:p>
    <w:p w14:paraId="18C57804">
      <w:pPr>
        <w:pStyle w:val="3"/>
        <w:ind w:firstLine="640" w:firstLineChars="200"/>
        <w:rPr>
          <w:rFonts w:hint="default"/>
          <w:lang w:val="en-US" w:eastAsia="zh-CN"/>
        </w:rPr>
      </w:pPr>
      <w:r>
        <w:rPr>
          <w:rFonts w:hint="eastAsia" w:ascii="Times New Roman" w:hAnsi="Times New Roman" w:eastAsia="仿宋_GB2312" w:cs="Times New Roman"/>
          <w:sz w:val="32"/>
          <w:szCs w:val="32"/>
          <w:lang w:val="en-US" w:eastAsia="zh-CN"/>
        </w:rPr>
        <w:t>2.本学期教学材料参照执行。</w:t>
      </w:r>
    </w:p>
    <w:bookmarkEnd w:id="3"/>
    <w:p w14:paraId="04FFFB4F">
      <w:pPr>
        <w:pStyle w:val="5"/>
        <w:keepNext/>
        <w:keepLines/>
        <w:pageBreakBefore w:val="0"/>
        <w:widowControl w:val="0"/>
        <w:kinsoku/>
        <w:wordWrap/>
        <w:overflowPunct/>
        <w:topLinePunct w:val="0"/>
        <w:autoSpaceDE/>
        <w:autoSpaceDN/>
        <w:bidi w:val="0"/>
        <w:adjustRightInd/>
        <w:snapToGrid/>
        <w:spacing w:before="0" w:after="0" w:afterLines="50" w:line="560" w:lineRule="exact"/>
        <w:ind w:firstLine="640" w:firstLineChars="200"/>
        <w:textAlignment w:val="auto"/>
        <w:rPr>
          <w:rFonts w:hint="eastAsia" w:ascii="黑体" w:hAnsi="黑体" w:eastAsia="黑体" w:cs="黑体"/>
          <w:b w:val="0"/>
          <w:bCs w:val="0"/>
          <w:sz w:val="32"/>
          <w:szCs w:val="32"/>
        </w:rPr>
      </w:pPr>
      <w:bookmarkStart w:id="4" w:name="三检查工作安排"/>
      <w:r>
        <w:rPr>
          <w:rFonts w:hint="eastAsia" w:ascii="黑体" w:hAnsi="黑体" w:eastAsia="黑体" w:cs="黑体"/>
          <w:b w:val="0"/>
          <w:bCs w:val="0"/>
          <w:sz w:val="32"/>
          <w:szCs w:val="32"/>
        </w:rPr>
        <w:t>三、检查工作安排</w:t>
      </w:r>
    </w:p>
    <w:tbl>
      <w:tblPr>
        <w:tblStyle w:val="30"/>
        <w:tblW w:w="5250" w:type="pct"/>
        <w:tblInd w:w="-2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2"/>
        <w:gridCol w:w="1425"/>
        <w:gridCol w:w="7306"/>
      </w:tblGrid>
      <w:tr w14:paraId="0DC08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53" w:type="pct"/>
          </w:tcPr>
          <w:p w14:paraId="2A2DD632">
            <w:pPr>
              <w:pStyle w:val="26"/>
              <w:keepNext w:val="0"/>
              <w:keepLines w:val="0"/>
              <w:pageBreakBefore w:val="0"/>
              <w:widowControl w:val="0"/>
              <w:kinsoku/>
              <w:wordWrap/>
              <w:overflowPunct/>
              <w:topLinePunct w:val="0"/>
              <w:autoSpaceDE/>
              <w:autoSpaceDN/>
              <w:bidi w:val="0"/>
              <w:adjustRightInd/>
              <w:snapToGrid/>
              <w:spacing w:before="0" w:after="0" w:line="3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lang w:val="en-US" w:eastAsia="zh-CN"/>
              </w:rPr>
              <w:t>检查</w:t>
            </w:r>
            <w:r>
              <w:rPr>
                <w:rFonts w:hint="eastAsia" w:ascii="黑体" w:hAnsi="黑体" w:eastAsia="黑体" w:cs="黑体"/>
                <w:b w:val="0"/>
                <w:bCs w:val="0"/>
                <w:sz w:val="24"/>
                <w:szCs w:val="24"/>
              </w:rPr>
              <w:t>阶段</w:t>
            </w:r>
          </w:p>
        </w:tc>
        <w:tc>
          <w:tcPr>
            <w:tcW w:w="709" w:type="pct"/>
          </w:tcPr>
          <w:p w14:paraId="4C8A4974">
            <w:pPr>
              <w:pStyle w:val="26"/>
              <w:keepNext w:val="0"/>
              <w:keepLines w:val="0"/>
              <w:pageBreakBefore w:val="0"/>
              <w:widowControl w:val="0"/>
              <w:kinsoku/>
              <w:wordWrap/>
              <w:overflowPunct/>
              <w:topLinePunct w:val="0"/>
              <w:autoSpaceDE/>
              <w:autoSpaceDN/>
              <w:bidi w:val="0"/>
              <w:adjustRightInd/>
              <w:snapToGrid/>
              <w:spacing w:before="0" w:after="0" w:line="3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时间节点</w:t>
            </w:r>
          </w:p>
        </w:tc>
        <w:tc>
          <w:tcPr>
            <w:tcW w:w="3636" w:type="pct"/>
          </w:tcPr>
          <w:p w14:paraId="4F9CBE10">
            <w:pPr>
              <w:pStyle w:val="26"/>
              <w:keepNext w:val="0"/>
              <w:keepLines w:val="0"/>
              <w:pageBreakBefore w:val="0"/>
              <w:widowControl w:val="0"/>
              <w:kinsoku/>
              <w:wordWrap/>
              <w:overflowPunct/>
              <w:topLinePunct w:val="0"/>
              <w:autoSpaceDE/>
              <w:autoSpaceDN/>
              <w:bidi w:val="0"/>
              <w:adjustRightInd/>
              <w:snapToGrid/>
              <w:spacing w:before="0" w:after="0" w:line="3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工作要求</w:t>
            </w:r>
          </w:p>
        </w:tc>
      </w:tr>
      <w:tr w14:paraId="4EE94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Align w:val="center"/>
          </w:tcPr>
          <w:p w14:paraId="1ADDAAE2">
            <w:pPr>
              <w:pStyle w:val="26"/>
              <w:keepNext w:val="0"/>
              <w:keepLines w:val="0"/>
              <w:pageBreakBefore w:val="0"/>
              <w:widowControl w:val="0"/>
              <w:kinsoku/>
              <w:wordWrap/>
              <w:overflowPunct/>
              <w:topLinePunct w:val="0"/>
              <w:autoSpaceDE/>
              <w:autoSpaceDN/>
              <w:bidi w:val="0"/>
              <w:adjustRightInd/>
              <w:snapToGrid/>
              <w:spacing w:before="0" w:after="0" w:line="3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学院自查</w:t>
            </w:r>
          </w:p>
        </w:tc>
        <w:tc>
          <w:tcPr>
            <w:tcW w:w="709" w:type="pct"/>
            <w:vAlign w:val="center"/>
          </w:tcPr>
          <w:p w14:paraId="2FAB3FC6">
            <w:pPr>
              <w:pStyle w:val="26"/>
              <w:keepNext w:val="0"/>
              <w:keepLines w:val="0"/>
              <w:pageBreakBefore w:val="0"/>
              <w:widowControl w:val="0"/>
              <w:kinsoku/>
              <w:wordWrap/>
              <w:overflowPunct/>
              <w:topLinePunct w:val="0"/>
              <w:autoSpaceDE/>
              <w:autoSpaceDN/>
              <w:bidi w:val="0"/>
              <w:adjustRightInd/>
              <w:snapToGrid/>
              <w:spacing w:before="0" w:after="0"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b/>
                <w:bCs/>
                <w:sz w:val="24"/>
                <w:szCs w:val="24"/>
              </w:rPr>
              <w:t>1</w:t>
            </w:r>
            <w:r>
              <w:rPr>
                <w:rFonts w:hint="eastAsia" w:ascii="Times New Roman" w:hAnsi="Times New Roman" w:eastAsia="仿宋_GB2312" w:cs="Times New Roman"/>
                <w:b/>
                <w:bCs/>
                <w:sz w:val="24"/>
                <w:szCs w:val="24"/>
                <w:lang w:val="en-US" w:eastAsia="zh-CN"/>
              </w:rPr>
              <w:t>1</w:t>
            </w:r>
            <w:r>
              <w:rPr>
                <w:rFonts w:hint="default" w:ascii="Times New Roman" w:hAnsi="Times New Roman" w:eastAsia="仿宋_GB2312" w:cs="Times New Roman"/>
                <w:b/>
                <w:bCs/>
                <w:sz w:val="24"/>
                <w:szCs w:val="24"/>
              </w:rPr>
              <w:t>月</w:t>
            </w:r>
            <w:r>
              <w:rPr>
                <w:rFonts w:hint="eastAsia" w:ascii="Times New Roman" w:hAnsi="Times New Roman" w:eastAsia="仿宋_GB2312" w:cs="Times New Roman"/>
                <w:b/>
                <w:bCs/>
                <w:sz w:val="24"/>
                <w:szCs w:val="24"/>
                <w:lang w:val="en-US" w:eastAsia="zh-CN"/>
              </w:rPr>
              <w:t>10</w:t>
            </w:r>
            <w:r>
              <w:rPr>
                <w:rFonts w:hint="default" w:ascii="Times New Roman" w:hAnsi="Times New Roman" w:eastAsia="仿宋_GB2312" w:cs="Times New Roman"/>
                <w:b/>
                <w:bCs/>
                <w:sz w:val="24"/>
                <w:szCs w:val="24"/>
              </w:rPr>
              <w:t>日前</w:t>
            </w:r>
          </w:p>
        </w:tc>
        <w:tc>
          <w:tcPr>
            <w:tcW w:w="3636" w:type="pct"/>
          </w:tcPr>
          <w:p w14:paraId="7DA6C15C">
            <w:pPr>
              <w:pStyle w:val="26"/>
              <w:keepNext w:val="0"/>
              <w:keepLines w:val="0"/>
              <w:pageBreakBefore w:val="0"/>
              <w:widowControl w:val="0"/>
              <w:kinsoku/>
              <w:wordWrap/>
              <w:overflowPunct/>
              <w:topLinePunct w:val="0"/>
              <w:autoSpaceDE/>
              <w:autoSpaceDN/>
              <w:bidi w:val="0"/>
              <w:adjustRightInd/>
              <w:snapToGrid/>
              <w:spacing w:before="0" w:after="0" w:line="300" w:lineRule="exact"/>
              <w:ind w:firstLine="480" w:firstLineChars="200"/>
              <w:jc w:val="both"/>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各二级学院组织对本单位</w:t>
            </w:r>
            <w:r>
              <w:rPr>
                <w:rFonts w:hint="eastAsia" w:ascii="Times New Roman" w:hAnsi="Times New Roman" w:eastAsia="仿宋_GB2312" w:cs="Times New Roman"/>
                <w:sz w:val="24"/>
                <w:szCs w:val="24"/>
                <w:lang w:val="en-US" w:eastAsia="zh-CN"/>
              </w:rPr>
              <w:t>该</w:t>
            </w:r>
            <w:r>
              <w:rPr>
                <w:rFonts w:hint="default" w:ascii="Times New Roman" w:hAnsi="Times New Roman" w:eastAsia="仿宋_GB2312" w:cs="Times New Roman"/>
                <w:sz w:val="24"/>
                <w:szCs w:val="24"/>
              </w:rPr>
              <w:t>学期所有相关教学</w:t>
            </w:r>
            <w:r>
              <w:rPr>
                <w:rFonts w:hint="eastAsia" w:ascii="Times New Roman" w:hAnsi="Times New Roman" w:eastAsia="仿宋_GB2312" w:cs="Times New Roman"/>
                <w:sz w:val="24"/>
                <w:szCs w:val="24"/>
                <w:lang w:val="en-US" w:eastAsia="zh-CN"/>
              </w:rPr>
              <w:t>业务</w:t>
            </w:r>
            <w:r>
              <w:rPr>
                <w:rFonts w:hint="default" w:ascii="Times New Roman" w:hAnsi="Times New Roman" w:eastAsia="仿宋_GB2312" w:cs="Times New Roman"/>
                <w:sz w:val="24"/>
                <w:szCs w:val="24"/>
              </w:rPr>
              <w:t>材料进行全面自查，逐项梳理问题，建立台账，限期整改。形成《XX学院2024-2025学年第二学期教学档案自查报告》，内容包括：自查组织情况、发现问题汇总、整改措施及完成情况、后续改进机制等。报告须经教学副院长</w:t>
            </w:r>
            <w:r>
              <w:rPr>
                <w:rFonts w:hint="eastAsia" w:ascii="Times New Roman" w:hAnsi="Times New Roman" w:eastAsia="仿宋_GB2312" w:cs="Times New Roman"/>
                <w:sz w:val="24"/>
                <w:szCs w:val="24"/>
                <w:lang w:eastAsia="zh-CN"/>
              </w:rPr>
              <w:t>、</w:t>
            </w:r>
            <w:r>
              <w:rPr>
                <w:rFonts w:hint="eastAsia" w:ascii="Times New Roman" w:hAnsi="Times New Roman" w:eastAsia="仿宋_GB2312" w:cs="Times New Roman"/>
                <w:sz w:val="24"/>
                <w:szCs w:val="24"/>
                <w:lang w:val="en-US" w:eastAsia="zh-CN"/>
              </w:rPr>
              <w:t>院长</w:t>
            </w:r>
            <w:r>
              <w:rPr>
                <w:rFonts w:hint="default" w:ascii="Times New Roman" w:hAnsi="Times New Roman" w:eastAsia="仿宋_GB2312" w:cs="Times New Roman"/>
                <w:sz w:val="24"/>
                <w:szCs w:val="24"/>
              </w:rPr>
              <w:t>签字确认后，</w:t>
            </w:r>
            <w:r>
              <w:rPr>
                <w:rFonts w:hint="eastAsia" w:ascii="Times New Roman" w:hAnsi="Times New Roman" w:eastAsia="仿宋_GB2312" w:cs="Times New Roman"/>
                <w:sz w:val="24"/>
                <w:szCs w:val="24"/>
                <w:lang w:val="en-US" w:eastAsia="zh-CN"/>
              </w:rPr>
              <w:t>于11月10日前</w:t>
            </w:r>
            <w:r>
              <w:rPr>
                <w:rFonts w:hint="default" w:ascii="Times New Roman" w:hAnsi="Times New Roman" w:eastAsia="仿宋_GB2312" w:cs="Times New Roman"/>
                <w:sz w:val="24"/>
                <w:szCs w:val="24"/>
              </w:rPr>
              <w:t>报送</w:t>
            </w:r>
            <w:r>
              <w:rPr>
                <w:rFonts w:hint="eastAsia" w:ascii="Times New Roman" w:hAnsi="Times New Roman" w:eastAsia="仿宋_GB2312" w:cs="Times New Roman"/>
                <w:sz w:val="24"/>
                <w:szCs w:val="24"/>
                <w:lang w:val="en-US" w:eastAsia="zh-CN"/>
              </w:rPr>
              <w:t>教务处</w:t>
            </w:r>
            <w:r>
              <w:rPr>
                <w:rFonts w:hint="default" w:ascii="Times New Roman" w:hAnsi="Times New Roman" w:eastAsia="仿宋_GB2312" w:cs="Times New Roman"/>
                <w:sz w:val="24"/>
                <w:szCs w:val="24"/>
              </w:rPr>
              <w:t>。</w:t>
            </w:r>
          </w:p>
          <w:p w14:paraId="22E94A4B">
            <w:pPr>
              <w:pStyle w:val="26"/>
              <w:keepNext w:val="0"/>
              <w:keepLines w:val="0"/>
              <w:pageBreakBefore w:val="0"/>
              <w:widowControl w:val="0"/>
              <w:kinsoku/>
              <w:wordWrap/>
              <w:overflowPunct/>
              <w:topLinePunct w:val="0"/>
              <w:autoSpaceDE/>
              <w:autoSpaceDN/>
              <w:bidi w:val="0"/>
              <w:adjustRightInd/>
              <w:snapToGrid/>
              <w:spacing w:before="0" w:after="0" w:line="300" w:lineRule="exact"/>
              <w:jc w:val="left"/>
              <w:textAlignment w:val="auto"/>
              <w:rPr>
                <w:rFonts w:hint="default" w:ascii="Times New Roman" w:hAnsi="Times New Roman" w:eastAsia="仿宋_GB2312" w:cs="Times New Roman"/>
                <w:sz w:val="24"/>
                <w:szCs w:val="24"/>
              </w:rPr>
            </w:pPr>
          </w:p>
        </w:tc>
      </w:tr>
      <w:tr w14:paraId="0B036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Align w:val="center"/>
          </w:tcPr>
          <w:p w14:paraId="0187549F">
            <w:pPr>
              <w:pStyle w:val="26"/>
              <w:keepNext w:val="0"/>
              <w:keepLines w:val="0"/>
              <w:pageBreakBefore w:val="0"/>
              <w:widowControl w:val="0"/>
              <w:kinsoku/>
              <w:wordWrap/>
              <w:overflowPunct/>
              <w:topLinePunct w:val="0"/>
              <w:autoSpaceDE/>
              <w:autoSpaceDN/>
              <w:bidi w:val="0"/>
              <w:adjustRightInd/>
              <w:snapToGrid/>
              <w:spacing w:before="0" w:after="0" w:line="3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学校复</w:t>
            </w:r>
            <w:r>
              <w:rPr>
                <w:rFonts w:hint="eastAsia" w:ascii="仿宋_GB2312" w:hAnsi="仿宋_GB2312" w:eastAsia="仿宋_GB2312" w:cs="仿宋_GB2312"/>
                <w:b/>
                <w:bCs/>
                <w:sz w:val="24"/>
                <w:szCs w:val="24"/>
                <w:lang w:val="en-US" w:eastAsia="zh-CN"/>
              </w:rPr>
              <w:t>查</w:t>
            </w:r>
          </w:p>
        </w:tc>
        <w:tc>
          <w:tcPr>
            <w:tcW w:w="709" w:type="pct"/>
            <w:vAlign w:val="center"/>
          </w:tcPr>
          <w:p w14:paraId="486CD2E8">
            <w:pPr>
              <w:pStyle w:val="26"/>
              <w:keepNext w:val="0"/>
              <w:keepLines w:val="0"/>
              <w:pageBreakBefore w:val="0"/>
              <w:widowControl w:val="0"/>
              <w:kinsoku/>
              <w:wordWrap/>
              <w:overflowPunct/>
              <w:topLinePunct w:val="0"/>
              <w:autoSpaceDE/>
              <w:autoSpaceDN/>
              <w:bidi w:val="0"/>
              <w:adjustRightInd/>
              <w:snapToGrid/>
              <w:spacing w:before="0" w:after="0" w:line="300" w:lineRule="exact"/>
              <w:jc w:val="center"/>
              <w:textAlignment w:val="auto"/>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b/>
                <w:bCs/>
                <w:sz w:val="24"/>
                <w:szCs w:val="24"/>
              </w:rPr>
              <w:t>11月</w:t>
            </w:r>
            <w:r>
              <w:rPr>
                <w:rFonts w:hint="eastAsia" w:ascii="Times New Roman" w:hAnsi="Times New Roman" w:eastAsia="仿宋_GB2312" w:cs="Times New Roman"/>
                <w:b/>
                <w:bCs/>
                <w:sz w:val="24"/>
                <w:szCs w:val="24"/>
                <w:lang w:val="en-US" w:eastAsia="zh-CN"/>
              </w:rPr>
              <w:t>下旬</w:t>
            </w:r>
          </w:p>
        </w:tc>
        <w:tc>
          <w:tcPr>
            <w:tcW w:w="3636" w:type="pct"/>
          </w:tcPr>
          <w:p w14:paraId="04730228">
            <w:pPr>
              <w:pStyle w:val="26"/>
              <w:keepNext w:val="0"/>
              <w:keepLines w:val="0"/>
              <w:pageBreakBefore w:val="0"/>
              <w:widowControl w:val="0"/>
              <w:kinsoku/>
              <w:wordWrap/>
              <w:overflowPunct/>
              <w:topLinePunct w:val="0"/>
              <w:autoSpaceDE/>
              <w:autoSpaceDN/>
              <w:bidi w:val="0"/>
              <w:adjustRightInd/>
              <w:snapToGrid/>
              <w:spacing w:before="0" w:after="0" w:line="300" w:lineRule="exact"/>
              <w:ind w:firstLine="480" w:firstLineChars="200"/>
              <w:jc w:val="left"/>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学校</w:t>
            </w:r>
            <w:r>
              <w:rPr>
                <w:rFonts w:hint="eastAsia" w:ascii="Times New Roman" w:hAnsi="Times New Roman" w:eastAsia="仿宋_GB2312" w:cs="Times New Roman"/>
                <w:sz w:val="24"/>
                <w:szCs w:val="24"/>
                <w:lang w:val="en-US" w:eastAsia="zh-CN"/>
              </w:rPr>
              <w:t>将</w:t>
            </w:r>
            <w:r>
              <w:rPr>
                <w:rFonts w:hint="default" w:ascii="Times New Roman" w:hAnsi="Times New Roman" w:eastAsia="仿宋_GB2312" w:cs="Times New Roman"/>
                <w:sz w:val="24"/>
                <w:szCs w:val="24"/>
              </w:rPr>
              <w:t>组建由教务处牵头，教学质量监控中心、督导专家及相关职能部门参与的联合检查组，赴各学院开展实地抽查复核。重点抽查新进教师、跨学院授课教师、多人合上课程、</w:t>
            </w:r>
            <w:r>
              <w:rPr>
                <w:rFonts w:hint="eastAsia" w:ascii="Times New Roman" w:hAnsi="Times New Roman" w:eastAsia="仿宋_GB2312" w:cs="Times New Roman"/>
                <w:sz w:val="24"/>
                <w:szCs w:val="24"/>
                <w:lang w:val="en-US" w:eastAsia="zh-CN"/>
              </w:rPr>
              <w:t>多人指导、外聘教师等</w:t>
            </w:r>
            <w:r>
              <w:rPr>
                <w:rFonts w:hint="default" w:ascii="Times New Roman" w:hAnsi="Times New Roman" w:eastAsia="仿宋_GB2312" w:cs="Times New Roman"/>
                <w:sz w:val="24"/>
                <w:szCs w:val="24"/>
              </w:rPr>
              <w:t>高风险环节。抽查比例</w:t>
            </w:r>
            <w:r>
              <w:rPr>
                <w:rFonts w:hint="eastAsia" w:ascii="Times New Roman" w:hAnsi="Times New Roman" w:eastAsia="仿宋_GB2312" w:cs="Times New Roman"/>
                <w:sz w:val="24"/>
                <w:szCs w:val="24"/>
                <w:lang w:val="en-US" w:eastAsia="zh-CN"/>
              </w:rPr>
              <w:t>总体</w:t>
            </w:r>
            <w:r>
              <w:rPr>
                <w:rFonts w:hint="default" w:ascii="Times New Roman" w:hAnsi="Times New Roman" w:eastAsia="仿宋_GB2312" w:cs="Times New Roman"/>
                <w:sz w:val="24"/>
                <w:szCs w:val="24"/>
              </w:rPr>
              <w:t>不低于</w:t>
            </w:r>
            <w:r>
              <w:rPr>
                <w:rFonts w:hint="eastAsia" w:ascii="Times New Roman" w:hAnsi="Times New Roman" w:eastAsia="仿宋_GB2312" w:cs="Times New Roman"/>
                <w:sz w:val="24"/>
                <w:szCs w:val="24"/>
                <w:lang w:val="en-US" w:eastAsia="zh-CN"/>
              </w:rPr>
              <w:t>1</w:t>
            </w:r>
            <w:r>
              <w:rPr>
                <w:rFonts w:hint="default" w:ascii="Times New Roman" w:hAnsi="Times New Roman" w:eastAsia="仿宋_GB2312" w:cs="Times New Roman"/>
                <w:sz w:val="24"/>
                <w:szCs w:val="24"/>
              </w:rPr>
              <w:t>0%，并对发现的问题进行现场反馈与</w:t>
            </w:r>
            <w:r>
              <w:rPr>
                <w:rFonts w:hint="eastAsia" w:ascii="Times New Roman" w:hAnsi="Times New Roman" w:eastAsia="仿宋_GB2312" w:cs="Times New Roman"/>
                <w:sz w:val="24"/>
                <w:szCs w:val="24"/>
                <w:lang w:val="en-US" w:eastAsia="zh-CN"/>
              </w:rPr>
              <w:t>后续</w:t>
            </w:r>
            <w:r>
              <w:rPr>
                <w:rFonts w:hint="default" w:ascii="Times New Roman" w:hAnsi="Times New Roman" w:eastAsia="仿宋_GB2312" w:cs="Times New Roman"/>
                <w:sz w:val="24"/>
                <w:szCs w:val="24"/>
              </w:rPr>
              <w:t>跟踪处理。</w:t>
            </w:r>
          </w:p>
        </w:tc>
      </w:tr>
    </w:tbl>
    <w:p w14:paraId="2DAFF2C0">
      <w:pPr>
        <w:pageBreakBefore w:val="0"/>
        <w:widowControl w:val="0"/>
        <w:kinsoku/>
        <w:wordWrap/>
        <w:overflowPunct/>
        <w:topLinePunct w:val="0"/>
        <w:autoSpaceDE/>
        <w:autoSpaceDN/>
        <w:bidi w:val="0"/>
        <w:adjustRightInd/>
        <w:snapToGrid/>
        <w:textAlignment w:val="auto"/>
      </w:pPr>
    </w:p>
    <w:bookmarkEnd w:id="4"/>
    <w:p w14:paraId="4612702F">
      <w:pPr>
        <w:pStyle w:val="5"/>
        <w:pageBreakBefore w:val="0"/>
        <w:widowControl w:val="0"/>
        <w:kinsoku/>
        <w:wordWrap/>
        <w:overflowPunct/>
        <w:topLinePunct w:val="0"/>
        <w:autoSpaceDE/>
        <w:autoSpaceDN/>
        <w:bidi w:val="0"/>
        <w:adjustRightInd/>
        <w:snapToGrid/>
        <w:spacing w:before="0" w:after="0" w:line="560" w:lineRule="exact"/>
        <w:ind w:left="0" w:firstLine="643" w:firstLineChars="200"/>
        <w:textAlignment w:val="auto"/>
        <w:rPr>
          <w:rFonts w:hint="default" w:ascii="Times New Roman" w:hAnsi="Times New Roman" w:eastAsia="仿宋_GB2312" w:cs="Times New Roman"/>
          <w:sz w:val="32"/>
          <w:szCs w:val="32"/>
        </w:rPr>
      </w:pPr>
      <w:bookmarkStart w:id="5" w:name="四结果应用与处理措施"/>
      <w:r>
        <w:rPr>
          <w:rFonts w:hint="default" w:ascii="Times New Roman" w:hAnsi="Times New Roman" w:eastAsia="仿宋_GB2312" w:cs="Times New Roman"/>
          <w:sz w:val="32"/>
          <w:szCs w:val="32"/>
        </w:rPr>
        <w:t>四、结果应用与处理措施</w:t>
      </w:r>
    </w:p>
    <w:p w14:paraId="4C836A11">
      <w:pPr>
        <w:pStyle w:val="26"/>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bidi="ar-SA"/>
        </w:rPr>
        <w:t>（一）</w:t>
      </w:r>
      <w:r>
        <w:rPr>
          <w:rFonts w:hint="eastAsia" w:ascii="楷体_GB2312" w:hAnsi="楷体_GB2312" w:eastAsia="楷体_GB2312" w:cs="楷体_GB2312"/>
          <w:b/>
          <w:bCs/>
          <w:sz w:val="32"/>
          <w:szCs w:val="32"/>
        </w:rPr>
        <w:t>纳入教学评价体系</w:t>
      </w:r>
    </w:p>
    <w:p w14:paraId="6714B19E">
      <w:pPr>
        <w:pStyle w:val="26"/>
        <w:pageBreakBefore w:val="0"/>
        <w:widowControl w:val="0"/>
        <w:numPr>
          <w:ilvl w:val="1"/>
          <w:numId w:val="0"/>
        </w:numPr>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本次检查结果将</w:t>
      </w:r>
      <w:r>
        <w:rPr>
          <w:rFonts w:hint="eastAsia" w:ascii="Times New Roman" w:hAnsi="Times New Roman" w:eastAsia="仿宋_GB2312" w:cs="Times New Roman"/>
          <w:sz w:val="32"/>
          <w:szCs w:val="32"/>
          <w:lang w:val="en-US" w:eastAsia="zh-CN"/>
        </w:rPr>
        <w:t>作为</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学年第</w:t>
      </w:r>
      <w:r>
        <w:rPr>
          <w:rFonts w:hint="eastAsia" w:ascii="Times New Roman" w:hAnsi="Times New Roman" w:eastAsia="仿宋_GB2312" w:cs="Times New Roman"/>
          <w:sz w:val="32"/>
          <w:szCs w:val="32"/>
          <w:lang w:val="en-US" w:eastAsia="zh-CN"/>
        </w:rPr>
        <w:t>一</w:t>
      </w:r>
      <w:r>
        <w:rPr>
          <w:rFonts w:hint="default" w:ascii="Times New Roman" w:hAnsi="Times New Roman" w:eastAsia="仿宋_GB2312" w:cs="Times New Roman"/>
          <w:sz w:val="32"/>
          <w:szCs w:val="32"/>
        </w:rPr>
        <w:t>学期</w:t>
      </w:r>
      <w:r>
        <w:rPr>
          <w:rFonts w:hint="default" w:ascii="Times New Roman" w:hAnsi="Times New Roman" w:eastAsia="仿宋_GB2312" w:cs="Times New Roman"/>
          <w:b w:val="0"/>
          <w:bCs w:val="0"/>
          <w:sz w:val="32"/>
          <w:szCs w:val="32"/>
        </w:rPr>
        <w:t>期中教学检查</w:t>
      </w:r>
      <w:r>
        <w:rPr>
          <w:rFonts w:hint="eastAsia" w:ascii="Times New Roman" w:hAnsi="Times New Roman" w:eastAsia="仿宋_GB2312" w:cs="Times New Roman"/>
          <w:b w:val="0"/>
          <w:bCs w:val="0"/>
          <w:sz w:val="32"/>
          <w:szCs w:val="32"/>
          <w:lang w:val="en-US" w:eastAsia="zh-CN"/>
        </w:rPr>
        <w:t>结果</w:t>
      </w:r>
      <w:r>
        <w:rPr>
          <w:rFonts w:hint="default" w:ascii="Times New Roman" w:hAnsi="Times New Roman" w:eastAsia="仿宋_GB2312" w:cs="Times New Roman"/>
          <w:sz w:val="32"/>
          <w:szCs w:val="32"/>
        </w:rPr>
        <w:t>，纳入二级学院年度教学工作考核，作为绩效分配、评优评先的重要参考。</w:t>
      </w:r>
    </w:p>
    <w:p w14:paraId="5E01D3A8">
      <w:pPr>
        <w:pStyle w:val="26"/>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rPr>
          <w:rFonts w:hint="default"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bidi="ar-SA"/>
        </w:rPr>
        <w:t>（二）</w:t>
      </w:r>
      <w:r>
        <w:rPr>
          <w:rFonts w:hint="eastAsia" w:ascii="楷体_GB2312" w:hAnsi="楷体_GB2312" w:eastAsia="楷体_GB2312" w:cs="楷体_GB2312"/>
          <w:b/>
          <w:bCs/>
          <w:sz w:val="32"/>
          <w:szCs w:val="32"/>
          <w:highlight w:val="none"/>
          <w:lang w:val="en-US" w:eastAsia="zh-CN"/>
        </w:rPr>
        <w:t>严肃处理违规行为</w:t>
      </w:r>
    </w:p>
    <w:p w14:paraId="7CAD9800">
      <w:pPr>
        <w:pStyle w:val="26"/>
        <w:pageBreakBefore w:val="0"/>
        <w:widowControl w:val="0"/>
        <w:numPr>
          <w:ilvl w:val="1"/>
          <w:numId w:val="0"/>
        </w:numPr>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对存在材料缺失、填写不规范、逻辑冲突等问题的，责令限期整改，并在全校范围内通报</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对发现虚报教学工作量、伪造签字或日期、无实质指导却申报工作量等行为，一经查实，</w:t>
      </w:r>
      <w:r>
        <w:rPr>
          <w:rFonts w:hint="eastAsia" w:ascii="Times New Roman" w:hAnsi="Times New Roman" w:eastAsia="仿宋_GB2312" w:cs="Times New Roman"/>
          <w:sz w:val="32"/>
          <w:szCs w:val="32"/>
          <w:highlight w:val="none"/>
          <w:lang w:val="en-US" w:eastAsia="zh-CN"/>
        </w:rPr>
        <w:t>将</w:t>
      </w:r>
      <w:r>
        <w:rPr>
          <w:rFonts w:hint="default" w:ascii="Times New Roman" w:hAnsi="Times New Roman" w:eastAsia="仿宋_GB2312" w:cs="Times New Roman"/>
          <w:sz w:val="32"/>
          <w:szCs w:val="32"/>
          <w:highlight w:val="none"/>
        </w:rPr>
        <w:t>严肃处理，视情节轻重给予约谈院长、通报批评、取消当年评优资格</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认定教学事故</w:t>
      </w:r>
      <w:r>
        <w:rPr>
          <w:rFonts w:hint="default" w:ascii="Times New Roman" w:hAnsi="Times New Roman" w:eastAsia="仿宋_GB2312" w:cs="Times New Roman"/>
          <w:sz w:val="32"/>
          <w:szCs w:val="32"/>
          <w:highlight w:val="none"/>
        </w:rPr>
        <w:t>等处罚</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涉及严重违规的，移交</w:t>
      </w:r>
      <w:r>
        <w:rPr>
          <w:rFonts w:hint="eastAsia" w:ascii="Times New Roman" w:hAnsi="Times New Roman" w:eastAsia="仿宋_GB2312" w:cs="Times New Roman"/>
          <w:sz w:val="32"/>
          <w:szCs w:val="32"/>
          <w:highlight w:val="none"/>
          <w:lang w:val="en-US" w:eastAsia="zh-CN"/>
        </w:rPr>
        <w:t>校</w:t>
      </w:r>
      <w:r>
        <w:rPr>
          <w:rFonts w:hint="default" w:ascii="Times New Roman" w:hAnsi="Times New Roman" w:eastAsia="仿宋_GB2312" w:cs="Times New Roman"/>
          <w:sz w:val="32"/>
          <w:szCs w:val="32"/>
          <w:highlight w:val="none"/>
        </w:rPr>
        <w:t>纪检监察部门进一步处理。</w:t>
      </w:r>
    </w:p>
    <w:p w14:paraId="0847BFE6">
      <w:pPr>
        <w:pStyle w:val="26"/>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lang w:val="en-US" w:eastAsia="zh-CN" w:bidi="ar-SA"/>
        </w:rPr>
        <w:t>（三）</w:t>
      </w:r>
      <w:r>
        <w:rPr>
          <w:rFonts w:hint="eastAsia" w:ascii="楷体_GB2312" w:hAnsi="楷体_GB2312" w:eastAsia="楷体_GB2312" w:cs="楷体_GB2312"/>
          <w:b/>
          <w:bCs/>
          <w:sz w:val="32"/>
          <w:szCs w:val="32"/>
          <w:highlight w:val="none"/>
          <w:lang w:val="en-US" w:eastAsia="zh-CN" w:bidi="ar-SA"/>
        </w:rPr>
        <w:t>有效</w:t>
      </w:r>
      <w:r>
        <w:rPr>
          <w:rFonts w:hint="eastAsia" w:ascii="楷体_GB2312" w:hAnsi="楷体_GB2312" w:eastAsia="楷体_GB2312" w:cs="楷体_GB2312"/>
          <w:b/>
          <w:bCs/>
          <w:sz w:val="32"/>
          <w:szCs w:val="32"/>
          <w:highlight w:val="none"/>
        </w:rPr>
        <w:t>支撑工作量统计</w:t>
      </w:r>
    </w:p>
    <w:p w14:paraId="19085DC4">
      <w:pPr>
        <w:pStyle w:val="26"/>
        <w:pageBreakBefore w:val="0"/>
        <w:widowControl w:val="0"/>
        <w:numPr>
          <w:ilvl w:val="1"/>
          <w:numId w:val="0"/>
        </w:numPr>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2024-2025学年第二学期的</w:t>
      </w:r>
      <w:r>
        <w:rPr>
          <w:rFonts w:hint="default" w:ascii="Times New Roman" w:hAnsi="Times New Roman" w:eastAsia="仿宋_GB2312" w:cs="Times New Roman"/>
          <w:sz w:val="32"/>
          <w:szCs w:val="32"/>
          <w:highlight w:val="none"/>
        </w:rPr>
        <w:t>教学工作量的最终核定将以此次检查中通过审查的</w:t>
      </w:r>
      <w:r>
        <w:rPr>
          <w:rFonts w:hint="eastAsia" w:ascii="Times New Roman" w:hAnsi="Times New Roman" w:eastAsia="仿宋_GB2312" w:cs="Times New Roman"/>
          <w:sz w:val="32"/>
          <w:szCs w:val="32"/>
          <w:highlight w:val="none"/>
          <w:lang w:val="en-US" w:eastAsia="zh-CN"/>
        </w:rPr>
        <w:t>教学</w:t>
      </w:r>
      <w:r>
        <w:rPr>
          <w:rFonts w:hint="default" w:ascii="Times New Roman" w:hAnsi="Times New Roman" w:eastAsia="仿宋_GB2312" w:cs="Times New Roman"/>
          <w:sz w:val="32"/>
          <w:szCs w:val="32"/>
          <w:highlight w:val="none"/>
        </w:rPr>
        <w:t>材料为依据</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凡未按规定提交材料、材料无法支撑工作量或被认定为无效指导的，一律不予计入正式教学工作量。</w:t>
      </w:r>
    </w:p>
    <w:bookmarkEnd w:id="5"/>
    <w:p w14:paraId="48A96EA8">
      <w:pPr>
        <w:pStyle w:val="5"/>
        <w:pageBreakBefore w:val="0"/>
        <w:widowControl w:val="0"/>
        <w:kinsoku/>
        <w:wordWrap/>
        <w:overflowPunct/>
        <w:topLinePunct w:val="0"/>
        <w:autoSpaceDE/>
        <w:autoSpaceDN/>
        <w:bidi w:val="0"/>
        <w:adjustRightInd/>
        <w:snapToGrid/>
        <w:spacing w:before="0" w:after="0" w:line="560" w:lineRule="exact"/>
        <w:ind w:left="0" w:firstLine="640" w:firstLineChars="200"/>
        <w:textAlignment w:val="auto"/>
        <w:rPr>
          <w:rFonts w:hint="eastAsia" w:ascii="黑体" w:hAnsi="黑体" w:eastAsia="黑体" w:cs="黑体"/>
          <w:b w:val="0"/>
          <w:bCs w:val="0"/>
          <w:sz w:val="32"/>
          <w:szCs w:val="32"/>
        </w:rPr>
      </w:pPr>
      <w:bookmarkStart w:id="6" w:name="五配套工作要求"/>
      <w:r>
        <w:rPr>
          <w:rFonts w:hint="eastAsia" w:ascii="黑体" w:hAnsi="黑体" w:eastAsia="黑体" w:cs="黑体"/>
          <w:b w:val="0"/>
          <w:bCs w:val="0"/>
          <w:sz w:val="32"/>
          <w:szCs w:val="32"/>
        </w:rPr>
        <w:t>五、</w:t>
      </w:r>
      <w:r>
        <w:rPr>
          <w:rFonts w:hint="eastAsia" w:ascii="黑体" w:hAnsi="黑体" w:eastAsia="黑体" w:cs="黑体"/>
          <w:b w:val="0"/>
          <w:bCs w:val="0"/>
          <w:sz w:val="32"/>
          <w:szCs w:val="32"/>
          <w:lang w:val="en-US" w:eastAsia="zh-CN"/>
        </w:rPr>
        <w:t>其他</w:t>
      </w:r>
      <w:r>
        <w:rPr>
          <w:rFonts w:hint="eastAsia" w:ascii="黑体" w:hAnsi="黑体" w:eastAsia="黑体" w:cs="黑体"/>
          <w:b w:val="0"/>
          <w:bCs w:val="0"/>
          <w:sz w:val="32"/>
          <w:szCs w:val="32"/>
        </w:rPr>
        <w:t>工作要求</w:t>
      </w:r>
    </w:p>
    <w:p w14:paraId="674D968F">
      <w:pPr>
        <w:pStyle w:val="26"/>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bidi="ar-SA"/>
        </w:rPr>
        <w:t>（一）</w:t>
      </w:r>
      <w:r>
        <w:rPr>
          <w:rFonts w:hint="default" w:ascii="Times New Roman" w:hAnsi="Times New Roman" w:eastAsia="仿宋_GB2312" w:cs="Times New Roman"/>
          <w:b/>
          <w:bCs/>
          <w:sz w:val="32"/>
          <w:szCs w:val="32"/>
        </w:rPr>
        <w:t>同步</w:t>
      </w:r>
      <w:r>
        <w:rPr>
          <w:rFonts w:hint="eastAsia" w:ascii="Times New Roman" w:hAnsi="Times New Roman" w:eastAsia="仿宋_GB2312" w:cs="Times New Roman"/>
          <w:b/>
          <w:bCs/>
          <w:sz w:val="32"/>
          <w:szCs w:val="32"/>
          <w:lang w:val="en-US" w:eastAsia="zh-CN"/>
        </w:rPr>
        <w:t>完成</w:t>
      </w:r>
      <w:r>
        <w:rPr>
          <w:rFonts w:hint="default" w:ascii="Times New Roman" w:hAnsi="Times New Roman" w:eastAsia="仿宋_GB2312" w:cs="Times New Roman"/>
          <w:b/>
          <w:bCs/>
          <w:sz w:val="32"/>
          <w:szCs w:val="32"/>
        </w:rPr>
        <w:t>工作量统计</w:t>
      </w:r>
      <w:r>
        <w:rPr>
          <w:rFonts w:hint="default" w:ascii="Times New Roman" w:hAnsi="Times New Roman" w:eastAsia="仿宋_GB2312" w:cs="Times New Roman"/>
          <w:sz w:val="32"/>
          <w:szCs w:val="32"/>
        </w:rPr>
        <w:t>：各学院应在自查过程中同步完成2024-2025学年第二学期教学工作量的统计与内部</w:t>
      </w:r>
      <w:r>
        <w:rPr>
          <w:rFonts w:hint="eastAsia" w:ascii="Times New Roman" w:hAnsi="Times New Roman" w:eastAsia="仿宋_GB2312" w:cs="Times New Roman"/>
          <w:sz w:val="32"/>
          <w:szCs w:val="32"/>
          <w:lang w:val="en-US" w:eastAsia="zh-CN"/>
        </w:rPr>
        <w:t>分配</w:t>
      </w:r>
      <w:r>
        <w:rPr>
          <w:rFonts w:hint="default" w:ascii="Times New Roman" w:hAnsi="Times New Roman" w:eastAsia="仿宋_GB2312" w:cs="Times New Roman"/>
          <w:sz w:val="32"/>
          <w:szCs w:val="32"/>
        </w:rPr>
        <w:t>，确保数据与档案材料</w:t>
      </w:r>
      <w:r>
        <w:rPr>
          <w:rFonts w:hint="eastAsia" w:ascii="Times New Roman" w:hAnsi="Times New Roman" w:eastAsia="仿宋_GB2312" w:cs="Times New Roman"/>
          <w:sz w:val="32"/>
          <w:szCs w:val="32"/>
          <w:lang w:val="en-US" w:eastAsia="zh-CN"/>
        </w:rPr>
        <w:t>保持</w:t>
      </w:r>
      <w:r>
        <w:rPr>
          <w:rFonts w:hint="default" w:ascii="Times New Roman" w:hAnsi="Times New Roman" w:eastAsia="仿宋_GB2312" w:cs="Times New Roman"/>
          <w:sz w:val="32"/>
          <w:szCs w:val="32"/>
        </w:rPr>
        <w:t>一致。</w:t>
      </w:r>
      <w:r>
        <w:rPr>
          <w:rFonts w:hint="eastAsia" w:ascii="Times New Roman" w:hAnsi="Times New Roman" w:eastAsia="仿宋_GB2312" w:cs="Times New Roman"/>
          <w:sz w:val="32"/>
          <w:szCs w:val="32"/>
          <w:lang w:val="en-US" w:eastAsia="zh-CN"/>
        </w:rPr>
        <w:t>具体要求另行通知。</w:t>
      </w:r>
    </w:p>
    <w:p w14:paraId="38F39F13">
      <w:pPr>
        <w:pStyle w:val="26"/>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bidi="ar-SA"/>
        </w:rPr>
        <w:t>（二）</w:t>
      </w:r>
      <w:r>
        <w:rPr>
          <w:rFonts w:hint="default" w:ascii="Times New Roman" w:hAnsi="Times New Roman" w:eastAsia="仿宋_GB2312" w:cs="Times New Roman"/>
          <w:b/>
          <w:bCs/>
          <w:sz w:val="32"/>
          <w:szCs w:val="32"/>
        </w:rPr>
        <w:t>强化责任落实</w:t>
      </w:r>
      <w:r>
        <w:rPr>
          <w:rFonts w:hint="default" w:ascii="Times New Roman" w:hAnsi="Times New Roman" w:eastAsia="仿宋_GB2312" w:cs="Times New Roman"/>
          <w:sz w:val="32"/>
          <w:szCs w:val="32"/>
        </w:rPr>
        <w:t>：实行“谁主管、谁负责”“谁签字、谁担责”的责任制，学院主要负责人是第一责任人，教研室主任、课程负责人</w:t>
      </w:r>
      <w:r>
        <w:rPr>
          <w:rFonts w:hint="eastAsia" w:ascii="Times New Roman" w:hAnsi="Times New Roman" w:eastAsia="仿宋_GB2312" w:cs="Times New Roman"/>
          <w:sz w:val="32"/>
          <w:szCs w:val="32"/>
          <w:lang w:eastAsia="zh-CN"/>
        </w:rPr>
        <w:t>、教学秘书、</w:t>
      </w:r>
      <w:r>
        <w:rPr>
          <w:rFonts w:hint="eastAsia" w:ascii="Times New Roman" w:hAnsi="Times New Roman" w:eastAsia="仿宋_GB2312" w:cs="Times New Roman"/>
          <w:sz w:val="32"/>
          <w:szCs w:val="32"/>
          <w:lang w:val="en-US" w:eastAsia="zh-CN"/>
        </w:rPr>
        <w:t>教学院长</w:t>
      </w:r>
      <w:r>
        <w:rPr>
          <w:rFonts w:hint="default" w:ascii="Times New Roman" w:hAnsi="Times New Roman" w:eastAsia="仿宋_GB2312" w:cs="Times New Roman"/>
          <w:sz w:val="32"/>
          <w:szCs w:val="32"/>
        </w:rPr>
        <w:t>等要层层把关。</w:t>
      </w:r>
      <w:r>
        <w:rPr>
          <w:rFonts w:hint="eastAsia" w:ascii="Times New Roman" w:hAnsi="Times New Roman" w:eastAsia="仿宋_GB2312" w:cs="Times New Roman"/>
          <w:sz w:val="32"/>
          <w:szCs w:val="32"/>
          <w:lang w:val="en-US" w:eastAsia="zh-CN"/>
        </w:rPr>
        <w:t>凡存在把关不严、程序失范等情形的，依据相关管理办法予以相应处理。</w:t>
      </w:r>
    </w:p>
    <w:p w14:paraId="6CBFC23C">
      <w:pPr>
        <w:pStyle w:val="26"/>
        <w:pageBreakBefore w:val="0"/>
        <w:widowControl w:val="0"/>
        <w:numPr>
          <w:ilvl w:val="0"/>
          <w:numId w:val="0"/>
        </w:numPr>
        <w:kinsoku/>
        <w:wordWrap/>
        <w:overflowPunct/>
        <w:topLinePunct w:val="0"/>
        <w:autoSpaceDE/>
        <w:autoSpaceDN/>
        <w:bidi w:val="0"/>
        <w:adjustRightInd/>
        <w:snapToGrid/>
        <w:spacing w:before="0" w:after="0" w:line="560" w:lineRule="exact"/>
        <w:ind w:left="0" w:leftChars="0"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bidi="ar-SA"/>
        </w:rPr>
        <w:t>（三）</w:t>
      </w:r>
      <w:r>
        <w:rPr>
          <w:rFonts w:hint="default" w:ascii="Times New Roman" w:hAnsi="Times New Roman" w:eastAsia="仿宋_GB2312" w:cs="Times New Roman"/>
          <w:b/>
          <w:bCs/>
          <w:sz w:val="32"/>
          <w:szCs w:val="32"/>
        </w:rPr>
        <w:t>建立长效机制</w:t>
      </w:r>
      <w:r>
        <w:rPr>
          <w:rFonts w:hint="default" w:ascii="Times New Roman" w:hAnsi="Times New Roman" w:eastAsia="仿宋_GB2312" w:cs="Times New Roman"/>
          <w:sz w:val="32"/>
          <w:szCs w:val="32"/>
        </w:rPr>
        <w:t>：以</w:t>
      </w:r>
      <w:r>
        <w:rPr>
          <w:rFonts w:hint="eastAsia" w:ascii="Times New Roman" w:hAnsi="Times New Roman" w:eastAsia="仿宋_GB2312" w:cs="Times New Roman"/>
          <w:sz w:val="32"/>
          <w:szCs w:val="32"/>
          <w:lang w:val="en-US" w:eastAsia="zh-CN"/>
        </w:rPr>
        <w:t>此</w:t>
      </w:r>
      <w:r>
        <w:rPr>
          <w:rFonts w:hint="default" w:ascii="Times New Roman" w:hAnsi="Times New Roman" w:eastAsia="仿宋_GB2312" w:cs="Times New Roman"/>
          <w:sz w:val="32"/>
          <w:szCs w:val="32"/>
        </w:rPr>
        <w:t>次检查为契机，健全教学档案</w:t>
      </w:r>
      <w:r>
        <w:rPr>
          <w:rFonts w:hint="eastAsia" w:ascii="Times New Roman" w:hAnsi="Times New Roman" w:eastAsia="仿宋_GB2312" w:cs="Times New Roman"/>
          <w:sz w:val="32"/>
          <w:szCs w:val="32"/>
          <w:lang w:val="en-US" w:eastAsia="zh-CN"/>
        </w:rPr>
        <w:t>材料</w:t>
      </w:r>
      <w:r>
        <w:rPr>
          <w:rFonts w:hint="default" w:ascii="Times New Roman" w:hAnsi="Times New Roman" w:eastAsia="仿宋_GB2312" w:cs="Times New Roman"/>
          <w:sz w:val="32"/>
          <w:szCs w:val="32"/>
        </w:rPr>
        <w:t>管理制度，推动教学</w:t>
      </w:r>
      <w:r>
        <w:rPr>
          <w:rFonts w:hint="eastAsia" w:ascii="Times New Roman" w:hAnsi="Times New Roman" w:eastAsia="仿宋_GB2312" w:cs="Times New Roman"/>
          <w:sz w:val="32"/>
          <w:szCs w:val="32"/>
          <w:lang w:val="en-US" w:eastAsia="zh-CN"/>
        </w:rPr>
        <w:t>档案材料</w:t>
      </w:r>
      <w:r>
        <w:rPr>
          <w:rFonts w:hint="default" w:ascii="Times New Roman" w:hAnsi="Times New Roman" w:eastAsia="仿宋_GB2312" w:cs="Times New Roman"/>
          <w:sz w:val="32"/>
          <w:szCs w:val="32"/>
        </w:rPr>
        <w:t>标准化、</w:t>
      </w:r>
      <w:r>
        <w:rPr>
          <w:rFonts w:hint="eastAsia" w:ascii="Times New Roman" w:hAnsi="Times New Roman" w:eastAsia="仿宋_GB2312" w:cs="Times New Roman"/>
          <w:sz w:val="32"/>
          <w:szCs w:val="32"/>
          <w:lang w:val="en-US" w:eastAsia="zh-CN"/>
        </w:rPr>
        <w:t>规范化</w:t>
      </w:r>
      <w:r>
        <w:rPr>
          <w:rFonts w:hint="default" w:ascii="Times New Roman" w:hAnsi="Times New Roman" w:eastAsia="仿宋_GB2312" w:cs="Times New Roman"/>
          <w:sz w:val="32"/>
          <w:szCs w:val="32"/>
        </w:rPr>
        <w:t>管理，实现日常积累、定期归档、动态更新。</w:t>
      </w:r>
    </w:p>
    <w:p w14:paraId="36C7D483">
      <w:pPr>
        <w:pStyle w:val="25"/>
        <w:pageBreakBefore w:val="0"/>
        <w:widowControl w:val="0"/>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请各</w:t>
      </w:r>
      <w:r>
        <w:rPr>
          <w:rFonts w:hint="eastAsia" w:ascii="Times New Roman" w:hAnsi="Times New Roman" w:eastAsia="仿宋_GB2312" w:cs="Times New Roman"/>
          <w:sz w:val="32"/>
          <w:szCs w:val="32"/>
          <w:lang w:val="en-US" w:eastAsia="zh-CN"/>
        </w:rPr>
        <w:t>二级学院</w:t>
      </w:r>
      <w:r>
        <w:rPr>
          <w:rFonts w:hint="default" w:ascii="Times New Roman" w:hAnsi="Times New Roman" w:eastAsia="仿宋_GB2312" w:cs="Times New Roman"/>
          <w:sz w:val="32"/>
          <w:szCs w:val="32"/>
        </w:rPr>
        <w:t>高度重视此</w:t>
      </w:r>
      <w:r>
        <w:rPr>
          <w:rFonts w:hint="eastAsia" w:ascii="Times New Roman" w:hAnsi="Times New Roman" w:eastAsia="仿宋_GB2312" w:cs="Times New Roman"/>
          <w:sz w:val="32"/>
          <w:szCs w:val="32"/>
          <w:lang w:val="en-US" w:eastAsia="zh-CN"/>
        </w:rPr>
        <w:t>次检查</w:t>
      </w:r>
      <w:r>
        <w:rPr>
          <w:rFonts w:hint="default" w:ascii="Times New Roman" w:hAnsi="Times New Roman" w:eastAsia="仿宋_GB2312" w:cs="Times New Roman"/>
          <w:sz w:val="32"/>
          <w:szCs w:val="32"/>
        </w:rPr>
        <w:t>工作，认真组织学习通知精神，周密部署</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逐项落实，确保自查不留死角、整改及时到位，全面提升教学档案</w:t>
      </w:r>
      <w:r>
        <w:rPr>
          <w:rFonts w:hint="eastAsia" w:ascii="Times New Roman" w:hAnsi="Times New Roman" w:eastAsia="仿宋_GB2312" w:cs="Times New Roman"/>
          <w:sz w:val="32"/>
          <w:szCs w:val="32"/>
          <w:lang w:val="en-US" w:eastAsia="zh-CN"/>
        </w:rPr>
        <w:t>材料</w:t>
      </w:r>
      <w:r>
        <w:rPr>
          <w:rFonts w:hint="default" w:ascii="Times New Roman" w:hAnsi="Times New Roman" w:eastAsia="仿宋_GB2312" w:cs="Times New Roman"/>
          <w:sz w:val="32"/>
          <w:szCs w:val="32"/>
        </w:rPr>
        <w:t>管理水平，为学校高质量通过</w:t>
      </w:r>
      <w:r>
        <w:rPr>
          <w:rFonts w:hint="eastAsia" w:ascii="Times New Roman" w:hAnsi="Times New Roman" w:eastAsia="仿宋_GB2312" w:cs="Times New Roman"/>
          <w:sz w:val="32"/>
          <w:szCs w:val="32"/>
          <w:lang w:val="en-US" w:eastAsia="zh-CN"/>
        </w:rPr>
        <w:t>合格</w:t>
      </w:r>
      <w:r>
        <w:rPr>
          <w:rFonts w:hint="default" w:ascii="Times New Roman" w:hAnsi="Times New Roman" w:eastAsia="仿宋_GB2312" w:cs="Times New Roman"/>
          <w:sz w:val="32"/>
          <w:szCs w:val="32"/>
        </w:rPr>
        <w:t>评估奠定坚实基础。</w:t>
      </w:r>
    </w:p>
    <w:p w14:paraId="2E92E005">
      <w:pPr>
        <w:pStyle w:val="3"/>
        <w:pageBreakBefore w:val="0"/>
        <w:widowControl w:val="0"/>
        <w:kinsoku/>
        <w:wordWrap/>
        <w:overflowPunct/>
        <w:topLinePunct w:val="0"/>
        <w:autoSpaceDE/>
        <w:autoSpaceDN/>
        <w:bidi w:val="0"/>
        <w:adjustRightInd/>
        <w:snapToGrid/>
        <w:spacing w:before="0" w:after="0"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（联系人：</w:t>
      </w:r>
      <w:r>
        <w:rPr>
          <w:rFonts w:hint="eastAsia" w:ascii="Times New Roman" w:hAnsi="Times New Roman" w:eastAsia="仿宋_GB2312" w:cs="Times New Roman"/>
          <w:sz w:val="32"/>
          <w:szCs w:val="32"/>
          <w:lang w:val="en-US" w:eastAsia="zh-CN"/>
        </w:rPr>
        <w:t>迟学旺</w:t>
      </w:r>
      <w:r>
        <w:rPr>
          <w:rFonts w:hint="default" w:ascii="Times New Roman" w:hAnsi="Times New Roman" w:eastAsia="仿宋_GB2312" w:cs="Times New Roman"/>
          <w:sz w:val="32"/>
          <w:szCs w:val="32"/>
        </w:rPr>
        <w:t>，联系电话：</w:t>
      </w:r>
      <w:r>
        <w:rPr>
          <w:rFonts w:hint="eastAsia" w:ascii="Times New Roman" w:hAnsi="Times New Roman" w:eastAsia="仿宋_GB2312" w:cs="Times New Roman"/>
          <w:sz w:val="32"/>
          <w:szCs w:val="32"/>
          <w:lang w:val="en-US" w:eastAsia="zh-CN"/>
        </w:rPr>
        <w:t>667569</w:t>
      </w:r>
      <w:r>
        <w:rPr>
          <w:rFonts w:hint="default" w:ascii="Times New Roman" w:hAnsi="Times New Roman" w:eastAsia="仿宋_GB2312" w:cs="Times New Roman"/>
          <w:sz w:val="32"/>
          <w:szCs w:val="32"/>
        </w:rPr>
        <w:t>，电子邮箱：</w:t>
      </w:r>
      <w:r>
        <w:rPr>
          <w:rFonts w:hint="eastAsia" w:ascii="Times New Roman" w:hAnsi="Times New Roman" w:eastAsia="仿宋_GB2312" w:cs="Times New Roman"/>
          <w:sz w:val="32"/>
          <w:szCs w:val="32"/>
          <w:lang w:val="en-US" w:eastAsia="zh-CN"/>
        </w:rPr>
        <w:t>chixuewang</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zjhzu</w:t>
      </w:r>
      <w:r>
        <w:rPr>
          <w:rFonts w:hint="default" w:ascii="Times New Roman" w:hAnsi="Times New Roman" w:eastAsia="仿宋_GB2312" w:cs="Times New Roman"/>
          <w:sz w:val="32"/>
          <w:szCs w:val="32"/>
        </w:rPr>
        <w:t>.edu.cn）</w:t>
      </w:r>
    </w:p>
    <w:p w14:paraId="70262144">
      <w:pPr>
        <w:pStyle w:val="3"/>
        <w:pageBreakBefore w:val="0"/>
        <w:widowControl w:val="0"/>
        <w:kinsoku/>
        <w:wordWrap/>
        <w:overflowPunct/>
        <w:topLinePunct w:val="0"/>
        <w:autoSpaceDE/>
        <w:autoSpaceDN/>
        <w:bidi w:val="0"/>
        <w:adjustRightInd/>
        <w:snapToGrid/>
        <w:spacing w:before="0" w:after="0" w:line="560" w:lineRule="exact"/>
        <w:ind w:left="0" w:firstLine="640" w:firstLineChars="200"/>
        <w:textAlignment w:val="auto"/>
        <w:rPr>
          <w:rFonts w:hint="default" w:ascii="Times New Roman" w:hAnsi="Times New Roman" w:eastAsia="仿宋_GB2312" w:cs="Times New Roman"/>
          <w:sz w:val="32"/>
          <w:szCs w:val="32"/>
        </w:rPr>
      </w:pPr>
    </w:p>
    <w:p w14:paraId="7F2D97ED">
      <w:pPr>
        <w:pStyle w:val="3"/>
        <w:pageBreakBefore w:val="0"/>
        <w:widowControl w:val="0"/>
        <w:kinsoku/>
        <w:wordWrap/>
        <w:overflowPunct/>
        <w:topLinePunct w:val="0"/>
        <w:autoSpaceDE/>
        <w:autoSpaceDN/>
        <w:bidi w:val="0"/>
        <w:adjustRightInd/>
        <w:snapToGrid/>
        <w:spacing w:before="0" w:after="0" w:line="560" w:lineRule="exact"/>
        <w:ind w:left="0"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附件：2024-2025-2学期教学档案材料检查表</w:t>
      </w:r>
    </w:p>
    <w:p w14:paraId="480F8C22">
      <w:pPr>
        <w:pStyle w:val="3"/>
        <w:pageBreakBefore w:val="0"/>
        <w:widowControl w:val="0"/>
        <w:kinsoku/>
        <w:wordWrap/>
        <w:overflowPunct/>
        <w:topLinePunct w:val="0"/>
        <w:autoSpaceDE/>
        <w:autoSpaceDN/>
        <w:bidi w:val="0"/>
        <w:adjustRightInd/>
        <w:snapToGrid/>
        <w:spacing w:before="0" w:after="0" w:line="560" w:lineRule="exact"/>
        <w:textAlignment w:val="auto"/>
        <w:rPr>
          <w:rFonts w:hint="default" w:ascii="Times New Roman" w:hAnsi="Times New Roman" w:eastAsia="仿宋_GB2312" w:cs="Times New Roman"/>
          <w:sz w:val="32"/>
          <w:szCs w:val="32"/>
        </w:rPr>
      </w:pPr>
    </w:p>
    <w:p w14:paraId="289F37D7">
      <w:pPr>
        <w:pStyle w:val="3"/>
        <w:pageBreakBefore w:val="0"/>
        <w:widowControl w:val="0"/>
        <w:kinsoku/>
        <w:wordWrap/>
        <w:overflowPunct/>
        <w:topLinePunct w:val="0"/>
        <w:autoSpaceDE/>
        <w:autoSpaceDN/>
        <w:bidi w:val="0"/>
        <w:adjustRightInd/>
        <w:snapToGrid/>
        <w:spacing w:before="0" w:after="0" w:line="560" w:lineRule="exact"/>
        <w:ind w:firstLine="6080" w:firstLineChars="190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湖州学院教务处</w:t>
      </w:r>
    </w:p>
    <w:p w14:paraId="36D742EF">
      <w:pPr>
        <w:pStyle w:val="3"/>
        <w:pageBreakBefore w:val="0"/>
        <w:widowControl w:val="0"/>
        <w:kinsoku/>
        <w:wordWrap/>
        <w:overflowPunct/>
        <w:topLinePunct w:val="0"/>
        <w:autoSpaceDE/>
        <w:autoSpaceDN/>
        <w:bidi w:val="0"/>
        <w:adjustRightInd/>
        <w:snapToGrid/>
        <w:spacing w:before="0" w:after="0" w:line="560" w:lineRule="exact"/>
        <w:ind w:left="0" w:firstLine="640" w:firstLineChars="200"/>
        <w:jc w:val="center"/>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2025年10月1</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日</w:t>
      </w:r>
    </w:p>
    <w:p w14:paraId="5E436D61">
      <w:pPr>
        <w:pStyle w:val="3"/>
        <w:pageBreakBefore w:val="0"/>
        <w:widowControl w:val="0"/>
        <w:kinsoku/>
        <w:wordWrap/>
        <w:overflowPunct/>
        <w:topLinePunct w:val="0"/>
        <w:autoSpaceDE/>
        <w:autoSpaceDN/>
        <w:bidi w:val="0"/>
        <w:adjustRightInd/>
        <w:snapToGrid/>
        <w:spacing w:before="0" w:after="0" w:line="560" w:lineRule="exact"/>
        <w:ind w:left="0" w:firstLine="480" w:firstLineChars="200"/>
        <w:textAlignment w:val="auto"/>
      </w:pPr>
    </w:p>
    <w:bookmarkEnd w:id="6"/>
    <w:sectPr>
      <w:headerReference r:id="rId4" w:type="default"/>
      <w:footerReference r:id="rId5" w:type="default"/>
      <w:pgSz w:w="12240" w:h="15840"/>
      <w:pgMar w:top="1701" w:right="1417" w:bottom="1701" w:left="1474" w:header="720" w:footer="72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modern"/>
    <w:pitch w:val="default"/>
    <w:sig w:usb0="E00006FF" w:usb1="0000FCFF" w:usb2="00000001" w:usb3="00000000" w:csb0="600001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B89821">
    <w:pPr>
      <w:pStyle w:val="15"/>
    </w:pPr>
    <w:bookmarkStart w:id="7" w:name="_GoBack"/>
    <w:bookmarkEnd w:id="7"/>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01084ED">
                          <w:pPr>
                            <w:pStyle w:val="15"/>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301084ED">
                    <w:pPr>
                      <w:pStyle w:val="15"/>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F3A08">
    <w:pPr>
      <w:pStyle w:val="1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footnote w:id="0"/>
    <w:footnote w:id="1"/>
  </w:foot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1651569"/>
    <w:rsid w:val="1C915908"/>
    <w:rsid w:val="23246039"/>
    <w:rsid w:val="2BB83628"/>
    <w:rsid w:val="47134FE8"/>
    <w:rsid w:val="48292103"/>
    <w:rsid w:val="4975451C"/>
    <w:rsid w:val="4E5B5EB2"/>
    <w:rsid w:val="4F513FDA"/>
    <w:rsid w:val="57E200C6"/>
    <w:rsid w:val="5DEE039D"/>
    <w:rsid w:val="66AD0DA1"/>
    <w:rsid w:val="6D0306BD"/>
    <w:rsid w:val="72BD2E4A"/>
    <w:rsid w:val="75FC37F8"/>
    <w:rsid w:val="76D30B85"/>
    <w:rsid w:val="7A4A191F"/>
    <w:rsid w:val="7B900E48"/>
  </w:rsids>
  <m:mathPr>
    <m:mathFont m:val="Cambria Math"/>
    <m:brkBin m:val="before"/>
    <m:brkBinSub m:val="--"/>
    <m:smallFrac m:val="0"/>
    <m:dispDef/>
    <m:lMargin m:val="0"/>
    <m:rMargin m:val="0"/>
    <m:defJc m:val="centerGroup"/>
    <m:wrapRight m:val="1"/>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iPriority="0" w:name="header"/>
    <w:lsdException w:uiPriority="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nhideWhenUsed="0" w:uiPriority="0" w:semiHidden="0" w:name="List 5"/>
    <w:lsdException w:uiPriority="0" w:name="List Bullet 2"/>
    <w:lsdException w:uiPriority="0" w:name="List Bullet 3"/>
    <w:lsdException w:unhideWhenUsed="0" w:uiPriority="0" w:semiHidden="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EastAsia" w:cstheme="minorBidi"/>
      <w:sz w:val="24"/>
      <w:szCs w:val="24"/>
      <w:lang w:val="en-US" w:eastAsia="en-US" w:bidi="ar-SA"/>
    </w:rPr>
  </w:style>
  <w:style w:type="paragraph" w:styleId="2">
    <w:name w:val="heading 1"/>
    <w:basedOn w:val="1"/>
    <w:next w:val="3"/>
    <w:qFormat/>
    <w:uiPriority w:val="9"/>
    <w:pPr>
      <w:keepNext/>
      <w:keepLines/>
      <w:spacing w:before="480" w:after="0"/>
      <w:outlineLvl w:val="0"/>
    </w:pPr>
    <w:rPr>
      <w:rFonts w:asciiTheme="majorHAnsi" w:hAnsiTheme="majorHAnsi" w:eastAsiaTheme="majorEastAsia" w:cstheme="majorBidi"/>
      <w:b/>
      <w:bCs/>
      <w:sz w:val="32"/>
      <w:szCs w:val="32"/>
    </w:rPr>
  </w:style>
  <w:style w:type="paragraph" w:styleId="4">
    <w:name w:val="heading 2"/>
    <w:basedOn w:val="1"/>
    <w:next w:val="3"/>
    <w:unhideWhenUsed/>
    <w:qFormat/>
    <w:uiPriority w:val="9"/>
    <w:pPr>
      <w:keepNext/>
      <w:keepLines/>
      <w:spacing w:before="200" w:after="0"/>
      <w:outlineLvl w:val="1"/>
    </w:pPr>
    <w:rPr>
      <w:rFonts w:asciiTheme="majorHAnsi" w:hAnsiTheme="majorHAnsi" w:eastAsiaTheme="majorEastAsia" w:cstheme="majorBidi"/>
      <w:b/>
      <w:bCs/>
      <w:sz w:val="28"/>
      <w:szCs w:val="28"/>
    </w:rPr>
  </w:style>
  <w:style w:type="paragraph" w:styleId="5">
    <w:name w:val="heading 3"/>
    <w:basedOn w:val="1"/>
    <w:next w:val="3"/>
    <w:unhideWhenUsed/>
    <w:qFormat/>
    <w:uiPriority w:val="9"/>
    <w:pPr>
      <w:keepNext/>
      <w:keepLines/>
      <w:spacing w:before="200" w:after="0"/>
      <w:outlineLvl w:val="2"/>
    </w:pPr>
    <w:rPr>
      <w:rFonts w:asciiTheme="majorHAnsi" w:hAnsiTheme="majorHAnsi" w:eastAsiaTheme="majorEastAsia" w:cstheme="majorBidi"/>
      <w:b/>
      <w:bCs/>
    </w:rPr>
  </w:style>
  <w:style w:type="paragraph" w:styleId="6">
    <w:name w:val="heading 4"/>
    <w:basedOn w:val="1"/>
    <w:next w:val="3"/>
    <w:unhideWhenUsed/>
    <w:qFormat/>
    <w:uiPriority w:val="9"/>
    <w:pPr>
      <w:keepNext/>
      <w:keepLines/>
      <w:spacing w:before="200" w:after="0"/>
      <w:outlineLvl w:val="3"/>
    </w:pPr>
    <w:rPr>
      <w:rFonts w:asciiTheme="majorHAnsi" w:hAnsiTheme="majorHAnsi" w:eastAsiaTheme="majorEastAsia" w:cstheme="majorBidi"/>
      <w:bCs/>
      <w:i/>
    </w:rPr>
  </w:style>
  <w:style w:type="paragraph" w:styleId="7">
    <w:name w:val="heading 5"/>
    <w:basedOn w:val="1"/>
    <w:next w:val="3"/>
    <w:unhideWhenUsed/>
    <w:qFormat/>
    <w:uiPriority w:val="9"/>
    <w:pPr>
      <w:keepNext/>
      <w:keepLines/>
      <w:spacing w:before="200" w:after="0"/>
      <w:outlineLvl w:val="4"/>
    </w:pPr>
    <w:rPr>
      <w:rFonts w:asciiTheme="majorHAnsi" w:hAnsiTheme="majorHAnsi" w:eastAsiaTheme="majorEastAsia" w:cstheme="majorBidi"/>
      <w:iCs/>
    </w:rPr>
  </w:style>
  <w:style w:type="paragraph" w:styleId="8">
    <w:name w:val="heading 6"/>
    <w:basedOn w:val="1"/>
    <w:next w:val="3"/>
    <w:unhideWhenUsed/>
    <w:qFormat/>
    <w:uiPriority w:val="9"/>
    <w:pPr>
      <w:keepNext/>
      <w:keepLines/>
      <w:spacing w:before="200" w:after="0"/>
      <w:outlineLvl w:val="5"/>
    </w:pPr>
    <w:rPr>
      <w:rFonts w:asciiTheme="majorHAnsi" w:hAnsiTheme="majorHAnsi" w:eastAsiaTheme="majorEastAsia" w:cstheme="majorBidi"/>
    </w:rPr>
  </w:style>
  <w:style w:type="paragraph" w:styleId="9">
    <w:name w:val="heading 7"/>
    <w:basedOn w:val="1"/>
    <w:next w:val="3"/>
    <w:unhideWhenUsed/>
    <w:qFormat/>
    <w:uiPriority w:val="9"/>
    <w:pPr>
      <w:keepNext/>
      <w:keepLines/>
      <w:spacing w:before="200" w:after="0"/>
      <w:outlineLvl w:val="6"/>
    </w:pPr>
    <w:rPr>
      <w:rFonts w:asciiTheme="majorHAnsi" w:hAnsiTheme="majorHAnsi" w:eastAsiaTheme="majorEastAsia" w:cstheme="majorBidi"/>
    </w:rPr>
  </w:style>
  <w:style w:type="paragraph" w:styleId="10">
    <w:name w:val="heading 8"/>
    <w:basedOn w:val="1"/>
    <w:next w:val="3"/>
    <w:unhideWhenUsed/>
    <w:qFormat/>
    <w:uiPriority w:val="9"/>
    <w:pPr>
      <w:keepNext/>
      <w:keepLines/>
      <w:spacing w:before="200" w:after="0"/>
      <w:outlineLvl w:val="7"/>
    </w:pPr>
    <w:rPr>
      <w:rFonts w:asciiTheme="majorHAnsi" w:hAnsiTheme="majorHAnsi" w:eastAsiaTheme="majorEastAsia" w:cstheme="majorBidi"/>
    </w:rPr>
  </w:style>
  <w:style w:type="paragraph" w:styleId="11">
    <w:name w:val="heading 9"/>
    <w:basedOn w:val="1"/>
    <w:next w:val="3"/>
    <w:unhideWhenUsed/>
    <w:qFormat/>
    <w:uiPriority w:val="9"/>
    <w:pPr>
      <w:keepNext/>
      <w:keepLines/>
      <w:spacing w:before="200" w:after="0"/>
      <w:outlineLvl w:val="8"/>
    </w:pPr>
    <w:rPr>
      <w:rFonts w:asciiTheme="majorHAnsi" w:hAnsiTheme="majorHAnsi" w:eastAsiaTheme="majorEastAsia" w:cstheme="majorBidi"/>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before="180" w:after="180"/>
    </w:pPr>
  </w:style>
  <w:style w:type="paragraph" w:styleId="12">
    <w:name w:val="caption"/>
    <w:basedOn w:val="1"/>
    <w:next w:val="1"/>
    <w:link w:val="23"/>
    <w:qFormat/>
    <w:uiPriority w:val="0"/>
    <w:pPr>
      <w:spacing w:after="120"/>
    </w:pPr>
    <w:rPr>
      <w:i/>
    </w:rPr>
  </w:style>
  <w:style w:type="paragraph" w:styleId="13">
    <w:name w:val="Block Text"/>
    <w:basedOn w:val="3"/>
    <w:next w:val="3"/>
    <w:unhideWhenUsed/>
    <w:qFormat/>
    <w:uiPriority w:val="9"/>
    <w:pPr>
      <w:spacing w:before="100" w:after="100"/>
      <w:ind w:left="480" w:right="480"/>
    </w:pPr>
  </w:style>
  <w:style w:type="paragraph" w:styleId="14">
    <w:name w:val="Date"/>
    <w:next w:val="3"/>
    <w:qFormat/>
    <w:uiPriority w:val="0"/>
    <w:pPr>
      <w:keepNext/>
      <w:keepLines/>
      <w:spacing w:after="200"/>
      <w:jc w:val="center"/>
    </w:pPr>
    <w:rPr>
      <w:rFonts w:asciiTheme="minorHAnsi" w:hAnsiTheme="minorHAnsi" w:eastAsiaTheme="minorEastAsia" w:cstheme="minorBidi"/>
      <w:sz w:val="24"/>
      <w:szCs w:val="24"/>
      <w:lang w:val="en-US" w:eastAsia="en-US" w:bidi="ar-SA"/>
    </w:rPr>
  </w:style>
  <w:style w:type="paragraph" w:styleId="15">
    <w:name w:val="footer"/>
    <w:basedOn w:val="1"/>
    <w:semiHidden/>
    <w:unhideWhenUsed/>
    <w:uiPriority w:val="0"/>
    <w:pPr>
      <w:tabs>
        <w:tab w:val="center" w:pos="4153"/>
        <w:tab w:val="right" w:pos="8306"/>
      </w:tabs>
      <w:snapToGrid w:val="0"/>
      <w:jc w:val="left"/>
    </w:pPr>
    <w:rPr>
      <w:sz w:val="18"/>
    </w:rPr>
  </w:style>
  <w:style w:type="paragraph" w:styleId="16">
    <w:name w:val="header"/>
    <w:basedOn w:val="1"/>
    <w:semiHidden/>
    <w:unhideWhenUsed/>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Subtitle"/>
    <w:basedOn w:val="18"/>
    <w:next w:val="3"/>
    <w:qFormat/>
    <w:uiPriority w:val="0"/>
    <w:pPr>
      <w:spacing w:before="240"/>
    </w:pPr>
    <w:rPr>
      <w:sz w:val="30"/>
      <w:szCs w:val="30"/>
    </w:rPr>
  </w:style>
  <w:style w:type="paragraph" w:styleId="18">
    <w:name w:val="Title"/>
    <w:basedOn w:val="1"/>
    <w:next w:val="3"/>
    <w:qFormat/>
    <w:uiPriority w:val="0"/>
    <w:pPr>
      <w:keepNext/>
      <w:keepLines/>
      <w:spacing w:before="480" w:after="240"/>
      <w:jc w:val="center"/>
    </w:pPr>
    <w:rPr>
      <w:rFonts w:asciiTheme="majorHAnsi" w:hAnsiTheme="majorHAnsi" w:eastAsiaTheme="majorEastAsia" w:cstheme="majorBidi"/>
      <w:b/>
      <w:bCs/>
      <w:color w:val="345B8A" w:themeColor="accent1" w:themeShade="B5"/>
      <w:sz w:val="36"/>
      <w:szCs w:val="36"/>
    </w:rPr>
  </w:style>
  <w:style w:type="paragraph" w:styleId="19">
    <w:name w:val="footnote text"/>
    <w:basedOn w:val="1"/>
    <w:unhideWhenUsed/>
    <w:qFormat/>
    <w:uiPriority w:val="9"/>
  </w:style>
  <w:style w:type="character" w:styleId="22">
    <w:name w:val="Hyperlink"/>
    <w:basedOn w:val="23"/>
    <w:qFormat/>
    <w:uiPriority w:val="0"/>
    <w:rPr>
      <w:color w:val="4F81BD" w:themeColor="accent1"/>
      <w14:textFill>
        <w14:solidFill>
          <w14:schemeClr w14:val="accent1"/>
        </w14:solidFill>
      </w14:textFill>
    </w:rPr>
  </w:style>
  <w:style w:type="character" w:customStyle="1" w:styleId="23">
    <w:name w:val="题注 字符"/>
    <w:basedOn w:val="21"/>
    <w:link w:val="12"/>
    <w:qFormat/>
    <w:uiPriority w:val="0"/>
  </w:style>
  <w:style w:type="character" w:styleId="24">
    <w:name w:val="footnote reference"/>
    <w:basedOn w:val="23"/>
    <w:qFormat/>
    <w:uiPriority w:val="0"/>
    <w:rPr>
      <w:vertAlign w:val="superscript"/>
    </w:rPr>
  </w:style>
  <w:style w:type="paragraph" w:customStyle="1" w:styleId="25">
    <w:name w:val="First Paragraph"/>
    <w:basedOn w:val="3"/>
    <w:next w:val="3"/>
    <w:qFormat/>
    <w:uiPriority w:val="0"/>
  </w:style>
  <w:style w:type="paragraph" w:customStyle="1" w:styleId="26">
    <w:name w:val="Compact"/>
    <w:basedOn w:val="3"/>
    <w:qFormat/>
    <w:uiPriority w:val="0"/>
    <w:pPr>
      <w:spacing w:before="36" w:after="36"/>
    </w:pPr>
  </w:style>
  <w:style w:type="paragraph" w:customStyle="1" w:styleId="27">
    <w:name w:val="Author"/>
    <w:next w:val="3"/>
    <w:qFormat/>
    <w:uiPriority w:val="0"/>
    <w:pPr>
      <w:keepNext/>
      <w:keepLines/>
      <w:spacing w:after="200"/>
      <w:jc w:val="center"/>
    </w:pPr>
    <w:rPr>
      <w:rFonts w:asciiTheme="minorHAnsi" w:hAnsiTheme="minorHAnsi" w:eastAsiaTheme="minorEastAsia" w:cstheme="minorBidi"/>
      <w:sz w:val="24"/>
      <w:szCs w:val="24"/>
      <w:lang w:val="en-US" w:eastAsia="en-US" w:bidi="ar-SA"/>
    </w:rPr>
  </w:style>
  <w:style w:type="paragraph" w:customStyle="1" w:styleId="28">
    <w:name w:val="Abstract"/>
    <w:basedOn w:val="1"/>
    <w:next w:val="3"/>
    <w:qFormat/>
    <w:uiPriority w:val="0"/>
    <w:pPr>
      <w:keepNext/>
      <w:keepLines/>
      <w:spacing w:before="300" w:after="300"/>
    </w:pPr>
    <w:rPr>
      <w:sz w:val="20"/>
      <w:szCs w:val="20"/>
    </w:rPr>
  </w:style>
  <w:style w:type="paragraph" w:customStyle="1" w:styleId="29">
    <w:name w:val="书目1"/>
    <w:basedOn w:val="1"/>
    <w:qFormat/>
    <w:uiPriority w:val="0"/>
  </w:style>
  <w:style w:type="table" w:customStyle="1" w:styleId="30">
    <w:name w:val="Table"/>
    <w:semiHidden/>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blStylePr w:type="firstRow">
      <w:tcPr>
        <w:tcBorders>
          <w:bottom w:val="single" w:color="auto" w:sz="0" w:space="0"/>
        </w:tcBorders>
        <w:vAlign w:val="bottom"/>
      </w:tcPr>
    </w:tblStylePr>
  </w:style>
  <w:style w:type="paragraph" w:customStyle="1" w:styleId="31">
    <w:name w:val="Definition Term"/>
    <w:basedOn w:val="1"/>
    <w:next w:val="32"/>
    <w:qFormat/>
    <w:uiPriority w:val="0"/>
    <w:pPr>
      <w:keepNext/>
      <w:keepLines/>
      <w:spacing w:after="0"/>
    </w:pPr>
    <w:rPr>
      <w:b/>
    </w:rPr>
  </w:style>
  <w:style w:type="paragraph" w:customStyle="1" w:styleId="32">
    <w:name w:val="Definition"/>
    <w:basedOn w:val="1"/>
    <w:qFormat/>
    <w:uiPriority w:val="0"/>
  </w:style>
  <w:style w:type="paragraph" w:customStyle="1" w:styleId="33">
    <w:name w:val="Table Caption"/>
    <w:basedOn w:val="12"/>
    <w:qFormat/>
    <w:uiPriority w:val="0"/>
    <w:pPr>
      <w:keepNext/>
    </w:pPr>
  </w:style>
  <w:style w:type="paragraph" w:customStyle="1" w:styleId="34">
    <w:name w:val="Image Caption"/>
    <w:basedOn w:val="12"/>
    <w:qFormat/>
    <w:uiPriority w:val="0"/>
  </w:style>
  <w:style w:type="paragraph" w:customStyle="1" w:styleId="35">
    <w:name w:val="Figure"/>
    <w:basedOn w:val="1"/>
    <w:qFormat/>
    <w:uiPriority w:val="0"/>
  </w:style>
  <w:style w:type="paragraph" w:customStyle="1" w:styleId="36">
    <w:name w:val="Captioned Figure"/>
    <w:basedOn w:val="35"/>
    <w:qFormat/>
    <w:uiPriority w:val="0"/>
    <w:pPr>
      <w:keepNext/>
    </w:pPr>
  </w:style>
  <w:style w:type="character" w:customStyle="1" w:styleId="37">
    <w:name w:val="Verbatim Char"/>
    <w:basedOn w:val="23"/>
    <w:link w:val="38"/>
    <w:qFormat/>
    <w:uiPriority w:val="0"/>
    <w:rPr>
      <w:rFonts w:ascii="Consolas" w:hAnsi="Consolas"/>
      <w:sz w:val="22"/>
    </w:rPr>
  </w:style>
  <w:style w:type="paragraph" w:customStyle="1" w:styleId="38">
    <w:name w:val="Source Code"/>
    <w:basedOn w:val="1"/>
    <w:link w:val="37"/>
    <w:qFormat/>
    <w:uiPriority w:val="0"/>
    <w:pPr>
      <w:wordWrap w:val="0"/>
    </w:pPr>
  </w:style>
  <w:style w:type="character" w:customStyle="1" w:styleId="39">
    <w:name w:val="Section Number"/>
    <w:basedOn w:val="23"/>
    <w:qFormat/>
    <w:uiPriority w:val="0"/>
  </w:style>
  <w:style w:type="paragraph" w:customStyle="1" w:styleId="40">
    <w:name w:val="TOC 标题1"/>
    <w:basedOn w:val="2"/>
    <w:next w:val="3"/>
    <w:unhideWhenUsed/>
    <w:qFormat/>
    <w:uiPriority w:val="39"/>
    <w:pPr>
      <w:spacing w:before="240" w:line="259" w:lineRule="auto"/>
      <w:outlineLvl w:val="9"/>
    </w:pPr>
    <w:rPr>
      <w:b w:val="0"/>
      <w:bCs w:val="0"/>
      <w:color w:val="376092" w:themeColor="accent1" w:themeShade="BF"/>
    </w:rPr>
  </w:style>
  <w:style w:type="character" w:customStyle="1" w:styleId="41">
    <w:name w:val="KeywordTok"/>
    <w:basedOn w:val="37"/>
    <w:qFormat/>
    <w:uiPriority w:val="0"/>
    <w:rPr>
      <w:rFonts w:ascii="Consolas" w:hAnsi="Consolas"/>
      <w:b/>
      <w:color w:val="007020"/>
      <w:sz w:val="22"/>
    </w:rPr>
  </w:style>
  <w:style w:type="character" w:customStyle="1" w:styleId="42">
    <w:name w:val="DataTypeTok"/>
    <w:basedOn w:val="37"/>
    <w:qFormat/>
    <w:uiPriority w:val="0"/>
    <w:rPr>
      <w:rFonts w:ascii="Consolas" w:hAnsi="Consolas"/>
      <w:color w:val="902000"/>
      <w:sz w:val="22"/>
    </w:rPr>
  </w:style>
  <w:style w:type="character" w:customStyle="1" w:styleId="43">
    <w:name w:val="DecValTok"/>
    <w:basedOn w:val="37"/>
    <w:qFormat/>
    <w:uiPriority w:val="0"/>
    <w:rPr>
      <w:rFonts w:ascii="Consolas" w:hAnsi="Consolas"/>
      <w:color w:val="40A070"/>
      <w:sz w:val="22"/>
    </w:rPr>
  </w:style>
  <w:style w:type="character" w:customStyle="1" w:styleId="44">
    <w:name w:val="BaseNTok"/>
    <w:basedOn w:val="37"/>
    <w:qFormat/>
    <w:uiPriority w:val="0"/>
    <w:rPr>
      <w:rFonts w:ascii="Consolas" w:hAnsi="Consolas"/>
      <w:color w:val="40A070"/>
      <w:sz w:val="22"/>
    </w:rPr>
  </w:style>
  <w:style w:type="character" w:customStyle="1" w:styleId="45">
    <w:name w:val="FloatTok"/>
    <w:basedOn w:val="37"/>
    <w:qFormat/>
    <w:uiPriority w:val="0"/>
    <w:rPr>
      <w:rFonts w:ascii="Consolas" w:hAnsi="Consolas"/>
      <w:color w:val="40A070"/>
      <w:sz w:val="22"/>
    </w:rPr>
  </w:style>
  <w:style w:type="character" w:customStyle="1" w:styleId="46">
    <w:name w:val="ConstantTok"/>
    <w:basedOn w:val="37"/>
    <w:qFormat/>
    <w:uiPriority w:val="0"/>
    <w:rPr>
      <w:rFonts w:ascii="Consolas" w:hAnsi="Consolas"/>
      <w:color w:val="880000"/>
      <w:sz w:val="22"/>
    </w:rPr>
  </w:style>
  <w:style w:type="character" w:customStyle="1" w:styleId="47">
    <w:name w:val="CharTok"/>
    <w:basedOn w:val="37"/>
    <w:qFormat/>
    <w:uiPriority w:val="0"/>
    <w:rPr>
      <w:rFonts w:ascii="Consolas" w:hAnsi="Consolas"/>
      <w:color w:val="4070A0"/>
      <w:sz w:val="22"/>
    </w:rPr>
  </w:style>
  <w:style w:type="character" w:customStyle="1" w:styleId="48">
    <w:name w:val="SpecialCharTok"/>
    <w:basedOn w:val="37"/>
    <w:qFormat/>
    <w:uiPriority w:val="0"/>
    <w:rPr>
      <w:rFonts w:ascii="Consolas" w:hAnsi="Consolas"/>
      <w:color w:val="4070A0"/>
      <w:sz w:val="22"/>
    </w:rPr>
  </w:style>
  <w:style w:type="character" w:customStyle="1" w:styleId="49">
    <w:name w:val="StringTok"/>
    <w:basedOn w:val="37"/>
    <w:qFormat/>
    <w:uiPriority w:val="0"/>
    <w:rPr>
      <w:rFonts w:ascii="Consolas" w:hAnsi="Consolas"/>
      <w:color w:val="4070A0"/>
      <w:sz w:val="22"/>
    </w:rPr>
  </w:style>
  <w:style w:type="character" w:customStyle="1" w:styleId="50">
    <w:name w:val="VerbatimStringTok"/>
    <w:basedOn w:val="37"/>
    <w:qFormat/>
    <w:uiPriority w:val="0"/>
    <w:rPr>
      <w:rFonts w:ascii="Consolas" w:hAnsi="Consolas"/>
      <w:color w:val="4070A0"/>
      <w:sz w:val="22"/>
    </w:rPr>
  </w:style>
  <w:style w:type="character" w:customStyle="1" w:styleId="51">
    <w:name w:val="SpecialStringTok"/>
    <w:basedOn w:val="37"/>
    <w:qFormat/>
    <w:uiPriority w:val="0"/>
    <w:rPr>
      <w:rFonts w:ascii="Consolas" w:hAnsi="Consolas"/>
      <w:color w:val="BB6688"/>
      <w:sz w:val="22"/>
    </w:rPr>
  </w:style>
  <w:style w:type="character" w:customStyle="1" w:styleId="52">
    <w:name w:val="ImportTok"/>
    <w:basedOn w:val="37"/>
    <w:qFormat/>
    <w:uiPriority w:val="0"/>
    <w:rPr>
      <w:rFonts w:ascii="Consolas" w:hAnsi="Consolas"/>
      <w:b/>
      <w:color w:val="008000"/>
      <w:sz w:val="22"/>
    </w:rPr>
  </w:style>
  <w:style w:type="character" w:customStyle="1" w:styleId="53">
    <w:name w:val="CommentTok"/>
    <w:basedOn w:val="37"/>
    <w:qFormat/>
    <w:uiPriority w:val="0"/>
    <w:rPr>
      <w:rFonts w:ascii="Consolas" w:hAnsi="Consolas"/>
      <w:i/>
      <w:color w:val="60A0B0"/>
      <w:sz w:val="22"/>
    </w:rPr>
  </w:style>
  <w:style w:type="character" w:customStyle="1" w:styleId="54">
    <w:name w:val="DocumentationTok"/>
    <w:basedOn w:val="37"/>
    <w:qFormat/>
    <w:uiPriority w:val="0"/>
    <w:rPr>
      <w:rFonts w:ascii="Consolas" w:hAnsi="Consolas"/>
      <w:i/>
      <w:color w:val="BA2121"/>
      <w:sz w:val="22"/>
    </w:rPr>
  </w:style>
  <w:style w:type="character" w:customStyle="1" w:styleId="55">
    <w:name w:val="AnnotationTok"/>
    <w:basedOn w:val="37"/>
    <w:qFormat/>
    <w:uiPriority w:val="0"/>
    <w:rPr>
      <w:rFonts w:ascii="Consolas" w:hAnsi="Consolas"/>
      <w:b/>
      <w:i/>
      <w:color w:val="60A0B0"/>
      <w:sz w:val="22"/>
    </w:rPr>
  </w:style>
  <w:style w:type="character" w:customStyle="1" w:styleId="56">
    <w:name w:val="CommentVarTok"/>
    <w:basedOn w:val="37"/>
    <w:qFormat/>
    <w:uiPriority w:val="0"/>
    <w:rPr>
      <w:rFonts w:ascii="Consolas" w:hAnsi="Consolas"/>
      <w:b/>
      <w:i/>
      <w:color w:val="60A0B0"/>
      <w:sz w:val="22"/>
    </w:rPr>
  </w:style>
  <w:style w:type="character" w:customStyle="1" w:styleId="57">
    <w:name w:val="OtherTok"/>
    <w:basedOn w:val="37"/>
    <w:qFormat/>
    <w:uiPriority w:val="0"/>
    <w:rPr>
      <w:rFonts w:ascii="Consolas" w:hAnsi="Consolas"/>
      <w:color w:val="007020"/>
      <w:sz w:val="22"/>
    </w:rPr>
  </w:style>
  <w:style w:type="character" w:customStyle="1" w:styleId="58">
    <w:name w:val="FunctionTok"/>
    <w:basedOn w:val="37"/>
    <w:qFormat/>
    <w:uiPriority w:val="0"/>
    <w:rPr>
      <w:rFonts w:ascii="Consolas" w:hAnsi="Consolas"/>
      <w:color w:val="06287E"/>
      <w:sz w:val="22"/>
    </w:rPr>
  </w:style>
  <w:style w:type="character" w:customStyle="1" w:styleId="59">
    <w:name w:val="VariableTok"/>
    <w:basedOn w:val="37"/>
    <w:qFormat/>
    <w:uiPriority w:val="0"/>
    <w:rPr>
      <w:rFonts w:ascii="Consolas" w:hAnsi="Consolas"/>
      <w:color w:val="19177C"/>
      <w:sz w:val="22"/>
    </w:rPr>
  </w:style>
  <w:style w:type="character" w:customStyle="1" w:styleId="60">
    <w:name w:val="ControlFlowTok"/>
    <w:basedOn w:val="37"/>
    <w:qFormat/>
    <w:uiPriority w:val="0"/>
    <w:rPr>
      <w:rFonts w:ascii="Consolas" w:hAnsi="Consolas"/>
      <w:b/>
      <w:color w:val="007020"/>
      <w:sz w:val="22"/>
    </w:rPr>
  </w:style>
  <w:style w:type="character" w:customStyle="1" w:styleId="61">
    <w:name w:val="OperatorTok"/>
    <w:basedOn w:val="37"/>
    <w:qFormat/>
    <w:uiPriority w:val="0"/>
    <w:rPr>
      <w:rFonts w:ascii="Consolas" w:hAnsi="Consolas"/>
      <w:color w:val="666666"/>
      <w:sz w:val="22"/>
    </w:rPr>
  </w:style>
  <w:style w:type="character" w:customStyle="1" w:styleId="62">
    <w:name w:val="BuiltInTok"/>
    <w:basedOn w:val="37"/>
    <w:qFormat/>
    <w:uiPriority w:val="0"/>
    <w:rPr>
      <w:rFonts w:ascii="Consolas" w:hAnsi="Consolas"/>
      <w:color w:val="008000"/>
      <w:sz w:val="22"/>
    </w:rPr>
  </w:style>
  <w:style w:type="character" w:customStyle="1" w:styleId="63">
    <w:name w:val="ExtensionTok"/>
    <w:basedOn w:val="37"/>
    <w:qFormat/>
    <w:uiPriority w:val="0"/>
    <w:rPr>
      <w:rFonts w:ascii="Consolas" w:hAnsi="Consolas"/>
      <w:sz w:val="22"/>
    </w:rPr>
  </w:style>
  <w:style w:type="character" w:customStyle="1" w:styleId="64">
    <w:name w:val="PreprocessorTok"/>
    <w:basedOn w:val="37"/>
    <w:qFormat/>
    <w:uiPriority w:val="0"/>
    <w:rPr>
      <w:rFonts w:ascii="Consolas" w:hAnsi="Consolas"/>
      <w:color w:val="BC7A00"/>
      <w:sz w:val="22"/>
    </w:rPr>
  </w:style>
  <w:style w:type="character" w:customStyle="1" w:styleId="65">
    <w:name w:val="AttributeTok"/>
    <w:basedOn w:val="37"/>
    <w:qFormat/>
    <w:uiPriority w:val="0"/>
    <w:rPr>
      <w:rFonts w:ascii="Consolas" w:hAnsi="Consolas"/>
      <w:color w:val="7D9029"/>
      <w:sz w:val="22"/>
    </w:rPr>
  </w:style>
  <w:style w:type="character" w:customStyle="1" w:styleId="66">
    <w:name w:val="RegionMarkerTok"/>
    <w:basedOn w:val="37"/>
    <w:qFormat/>
    <w:uiPriority w:val="0"/>
    <w:rPr>
      <w:rFonts w:ascii="Consolas" w:hAnsi="Consolas"/>
      <w:sz w:val="22"/>
    </w:rPr>
  </w:style>
  <w:style w:type="character" w:customStyle="1" w:styleId="67">
    <w:name w:val="InformationTok"/>
    <w:basedOn w:val="37"/>
    <w:qFormat/>
    <w:uiPriority w:val="0"/>
    <w:rPr>
      <w:rFonts w:ascii="Consolas" w:hAnsi="Consolas"/>
      <w:b/>
      <w:i/>
      <w:color w:val="60A0B0"/>
      <w:sz w:val="22"/>
    </w:rPr>
  </w:style>
  <w:style w:type="character" w:customStyle="1" w:styleId="68">
    <w:name w:val="WarningTok"/>
    <w:basedOn w:val="37"/>
    <w:qFormat/>
    <w:uiPriority w:val="0"/>
    <w:rPr>
      <w:rFonts w:ascii="Consolas" w:hAnsi="Consolas"/>
      <w:b/>
      <w:i/>
      <w:color w:val="60A0B0"/>
      <w:sz w:val="22"/>
    </w:rPr>
  </w:style>
  <w:style w:type="character" w:customStyle="1" w:styleId="69">
    <w:name w:val="AlertTok"/>
    <w:basedOn w:val="37"/>
    <w:qFormat/>
    <w:uiPriority w:val="0"/>
    <w:rPr>
      <w:rFonts w:ascii="Consolas" w:hAnsi="Consolas"/>
      <w:b/>
      <w:color w:val="FF0000"/>
      <w:sz w:val="22"/>
    </w:rPr>
  </w:style>
  <w:style w:type="character" w:customStyle="1" w:styleId="70">
    <w:name w:val="ErrorTok"/>
    <w:basedOn w:val="37"/>
    <w:qFormat/>
    <w:uiPriority w:val="0"/>
    <w:rPr>
      <w:rFonts w:ascii="Consolas" w:hAnsi="Consolas"/>
      <w:b/>
      <w:color w:val="FF0000"/>
      <w:sz w:val="22"/>
    </w:rPr>
  </w:style>
  <w:style w:type="character" w:customStyle="1" w:styleId="71">
    <w:name w:val="NormalTok"/>
    <w:basedOn w:val="37"/>
    <w:qFormat/>
    <w:uiPriority w:val="0"/>
    <w:rPr>
      <w:rFonts w:ascii="Consolas" w:hAnsi="Consolas"/>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1757</Words>
  <Characters>1874</Characters>
  <Lines>9</Lines>
  <Paragraphs>2</Paragraphs>
  <TotalTime>100</TotalTime>
  <ScaleCrop>false</ScaleCrop>
  <LinksUpToDate>false</LinksUpToDate>
  <CharactersWithSpaces>1931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2025-10-11T08:39:00Z</dcterms:created>
  <dc:creator>cxw</dc:creator>
  <cp:lastModifiedBy>cxw</cp:lastModifiedBy>
  <dcterms:modified xsi:type="dcterms:W3CDTF">2025-10-17T05:17:18Z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eyJoZGlkIjoiMTg2NTIyYzQ3NTQ3M2I3OTRlYjE5NjNjZjJiZWQyMTUiLCJ1c2VySWQiOiI5MDkxODAifQ==</vt:lpwstr>
  </property>
  <property fmtid="{D5CDD505-2E9C-101B-9397-08002B2CF9AE}" pid="3" name="KSOProductBuildVer">
    <vt:lpwstr>2052-12.1.0.23125</vt:lpwstr>
  </property>
  <property fmtid="{D5CDD505-2E9C-101B-9397-08002B2CF9AE}" pid="4" name="ICV">
    <vt:lpwstr>DC39457D538A4D088A77CADA22975984_12</vt:lpwstr>
  </property>
</Properties>
</file>