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17" w:rsidRPr="009640CD" w:rsidRDefault="004D7C17">
      <w:pPr>
        <w:spacing w:line="360" w:lineRule="exact"/>
        <w:rPr>
          <w:rFonts w:ascii="宋体" w:hAnsi="宋体"/>
          <w:b/>
          <w:w w:val="90"/>
          <w:sz w:val="28"/>
          <w:szCs w:val="28"/>
        </w:rPr>
      </w:pPr>
    </w:p>
    <w:p w:rsidR="004D7C17" w:rsidRDefault="004D7C17">
      <w:pPr>
        <w:spacing w:line="280" w:lineRule="exact"/>
        <w:rPr>
          <w:rFonts w:ascii="宋体" w:hAnsi="宋体"/>
          <w:b/>
          <w:color w:val="FF0000"/>
          <w:w w:val="90"/>
          <w:sz w:val="28"/>
          <w:szCs w:val="28"/>
        </w:rPr>
      </w:pPr>
    </w:p>
    <w:p w:rsidR="004D7C17" w:rsidRDefault="004D7C17">
      <w:pPr>
        <w:spacing w:line="76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文号"/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C25D8D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color w:val="000000"/>
          <w:sz w:val="32"/>
          <w:szCs w:val="32"/>
        </w:rPr>
        <w:t>湖院发</w:t>
      </w:r>
      <w:proofErr w:type="gramEnd"/>
      <w:r>
        <w:rPr>
          <w:rFonts w:ascii="仿宋_GB2312" w:eastAsia="仿宋_GB2312" w:hint="eastAsia"/>
          <w:b/>
          <w:color w:val="000000"/>
          <w:sz w:val="32"/>
          <w:szCs w:val="32"/>
        </w:rPr>
        <w:t>〔202</w:t>
      </w:r>
      <w:r w:rsidR="004D2089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〕</w:t>
      </w:r>
      <w:r w:rsidR="00B6211D">
        <w:rPr>
          <w:rFonts w:ascii="仿宋_GB2312" w:eastAsia="仿宋_GB2312" w:hint="eastAsia"/>
          <w:b/>
          <w:color w:val="000000"/>
          <w:sz w:val="32"/>
          <w:szCs w:val="32"/>
        </w:rPr>
        <w:t>42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号</w:t>
      </w:r>
      <w:bookmarkEnd w:id="0"/>
    </w:p>
    <w:p w:rsidR="004D7C17" w:rsidRDefault="00C25D8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color w:val="FF0000"/>
          <w:sz w:val="52"/>
          <w:szCs w:val="52"/>
        </w:rPr>
        <w:t xml:space="preserve"> </w:t>
      </w:r>
    </w:p>
    <w:p w:rsidR="00B6211D" w:rsidRDefault="00B6211D" w:rsidP="00CA3DD7">
      <w:pPr>
        <w:spacing w:line="560" w:lineRule="exact"/>
        <w:jc w:val="center"/>
        <w:textAlignment w:val="baseline"/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</w:pPr>
      <w:bookmarkStart w:id="1" w:name="主送机关"/>
      <w:r w:rsidRPr="00B6211D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关于印发</w:t>
      </w:r>
      <w:proofErr w:type="gramStart"/>
      <w:r w:rsidRPr="00B6211D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《</w:t>
      </w:r>
      <w:proofErr w:type="gramEnd"/>
      <w:r w:rsidRPr="00B6211D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湖州学院</w:t>
      </w:r>
    </w:p>
    <w:p w:rsidR="00F41489" w:rsidRDefault="00B6211D" w:rsidP="00CA3DD7">
      <w:pPr>
        <w:spacing w:line="560" w:lineRule="exact"/>
        <w:jc w:val="center"/>
        <w:textAlignment w:val="baseline"/>
        <w:rPr>
          <w:rFonts w:ascii="仿宋_GB2312" w:eastAsia="仿宋_GB2312"/>
          <w:color w:val="000000"/>
          <w:sz w:val="32"/>
          <w:szCs w:val="32"/>
        </w:rPr>
      </w:pPr>
      <w:r w:rsidRPr="00B6211D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本科生专业分流实施办法</w:t>
      </w:r>
      <w:proofErr w:type="gramStart"/>
      <w:r w:rsidRPr="00B6211D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》</w:t>
      </w:r>
      <w:proofErr w:type="gramEnd"/>
      <w:r w:rsidRPr="00B6211D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的通知</w:t>
      </w:r>
    </w:p>
    <w:p w:rsidR="00CA3DD7" w:rsidRDefault="00CA3DD7" w:rsidP="000C3C99">
      <w:pPr>
        <w:spacing w:line="560" w:lineRule="exact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 w:rsidR="000C3C99" w:rsidRPr="000C3C99" w:rsidRDefault="000C3C99" w:rsidP="000C3C99">
      <w:pPr>
        <w:spacing w:line="560" w:lineRule="exact"/>
        <w:textAlignment w:val="baseline"/>
        <w:rPr>
          <w:rFonts w:ascii="仿宋_GB2312" w:eastAsia="仿宋_GB2312"/>
          <w:color w:val="000000"/>
          <w:sz w:val="32"/>
          <w:szCs w:val="32"/>
        </w:rPr>
      </w:pPr>
      <w:r w:rsidRPr="000C3C99">
        <w:rPr>
          <w:rFonts w:ascii="仿宋_GB2312" w:eastAsia="仿宋_GB2312" w:hint="eastAsia"/>
          <w:color w:val="000000"/>
          <w:sz w:val="32"/>
          <w:szCs w:val="32"/>
        </w:rPr>
        <w:t>各部门、二级学院</w:t>
      </w:r>
      <w:bookmarkEnd w:id="1"/>
      <w:r w:rsidRPr="000C3C99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4B1E63" w:rsidRPr="004B1E63" w:rsidRDefault="004B1E63" w:rsidP="004B1E63">
      <w:pPr>
        <w:widowControl/>
        <w:adjustRightInd w:val="0"/>
        <w:snapToGrid w:val="0"/>
        <w:spacing w:line="580" w:lineRule="exact"/>
        <w:ind w:firstLine="645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4B1E63">
        <w:rPr>
          <w:rFonts w:ascii="仿宋_GB2312" w:eastAsia="仿宋_GB2312" w:hAnsi="黑体" w:cs="仿宋_GB2312" w:hint="eastAsia"/>
          <w:kern w:val="0"/>
          <w:sz w:val="32"/>
          <w:szCs w:val="32"/>
        </w:rPr>
        <w:t>《</w:t>
      </w:r>
      <w:r w:rsidR="00B6211D" w:rsidRPr="00B6211D">
        <w:rPr>
          <w:rFonts w:ascii="仿宋_GB2312" w:eastAsia="仿宋_GB2312" w:hAnsi="黑体" w:cs="仿宋_GB2312" w:hint="eastAsia"/>
          <w:kern w:val="0"/>
          <w:sz w:val="32"/>
          <w:szCs w:val="32"/>
        </w:rPr>
        <w:t>湖州学院本科生专业分流实施办法</w:t>
      </w:r>
      <w:r w:rsidRPr="004B1E63">
        <w:rPr>
          <w:rFonts w:ascii="仿宋_GB2312" w:eastAsia="仿宋_GB2312" w:hAnsi="黑体" w:cs="仿宋_GB2312" w:hint="eastAsia"/>
          <w:kern w:val="0"/>
          <w:sz w:val="32"/>
          <w:szCs w:val="32"/>
        </w:rPr>
        <w:t>》已经校长办公会讨论通过,现印发给你们，请遵照执行。</w:t>
      </w:r>
    </w:p>
    <w:p w:rsidR="008C02AF" w:rsidRDefault="00DD7595" w:rsidP="00CA60E2">
      <w:pPr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 xml:space="preserve"> </w:t>
      </w:r>
      <w:r w:rsidRPr="00DD7595">
        <w:rPr>
          <w:rFonts w:eastAsia="仿宋_GB2312" w:hint="eastAsia"/>
          <w:color w:val="000000"/>
          <w:sz w:val="28"/>
          <w:szCs w:val="28"/>
        </w:rPr>
        <w:t xml:space="preserve"> </w:t>
      </w:r>
      <w:r w:rsidR="004E7867">
        <w:rPr>
          <w:rFonts w:eastAsia="仿宋_GB2312" w:hint="eastAsia"/>
          <w:color w:val="000000"/>
          <w:sz w:val="28"/>
          <w:szCs w:val="28"/>
        </w:rPr>
        <w:t xml:space="preserve">                              </w:t>
      </w:r>
      <w:r w:rsidR="008C02AF">
        <w:rPr>
          <w:rFonts w:eastAsia="仿宋_GB2312" w:hint="eastAsia"/>
          <w:color w:val="000000"/>
          <w:sz w:val="28"/>
          <w:szCs w:val="28"/>
        </w:rPr>
        <w:t xml:space="preserve">    </w:t>
      </w:r>
    </w:p>
    <w:p w:rsidR="004B1E63" w:rsidRDefault="004B1E63" w:rsidP="008C02AF">
      <w:pPr>
        <w:spacing w:line="560" w:lineRule="exact"/>
        <w:ind w:firstLineChars="1800" w:firstLine="5760"/>
        <w:rPr>
          <w:rFonts w:eastAsia="仿宋_GB2312"/>
          <w:color w:val="000000"/>
          <w:sz w:val="32"/>
          <w:szCs w:val="32"/>
        </w:rPr>
      </w:pPr>
    </w:p>
    <w:p w:rsidR="004D7C17" w:rsidRPr="004E7867" w:rsidRDefault="00DD7595" w:rsidP="008C02AF">
      <w:pPr>
        <w:spacing w:line="560" w:lineRule="exact"/>
        <w:ind w:firstLineChars="1800" w:firstLine="5760"/>
        <w:rPr>
          <w:rFonts w:eastAsia="仿宋_GB2312"/>
          <w:sz w:val="32"/>
          <w:szCs w:val="32"/>
        </w:rPr>
      </w:pPr>
      <w:r w:rsidRPr="004E7867">
        <w:rPr>
          <w:rFonts w:eastAsia="仿宋_GB2312" w:hint="eastAsia"/>
          <w:color w:val="000000"/>
          <w:sz w:val="32"/>
          <w:szCs w:val="32"/>
        </w:rPr>
        <w:t>湖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州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学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院</w:t>
      </w:r>
    </w:p>
    <w:p w:rsidR="00A568A7" w:rsidRDefault="00C25D8D" w:rsidP="004B1E63">
      <w:pPr>
        <w:spacing w:line="560" w:lineRule="exact"/>
        <w:ind w:firstLineChars="1800" w:firstLine="5760"/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D208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0833BA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0833BA">
        <w:rPr>
          <w:rFonts w:ascii="仿宋_GB2312" w:eastAsia="仿宋_GB2312" w:hint="eastAsia"/>
          <w:sz w:val="32"/>
          <w:szCs w:val="32"/>
        </w:rPr>
        <w:t>2</w:t>
      </w:r>
      <w:r w:rsidR="004B1E63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65EFB" w:rsidRDefault="00065EFB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511006" w:rsidRDefault="00511006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511006" w:rsidRDefault="00511006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B6211D" w:rsidRDefault="00B6211D" w:rsidP="00B6211D">
      <w:pPr>
        <w:autoSpaceDE w:val="0"/>
        <w:autoSpaceDN w:val="0"/>
        <w:adjustRightInd w:val="0"/>
        <w:spacing w:line="620" w:lineRule="exact"/>
        <w:jc w:val="center"/>
        <w:rPr>
          <w:rFonts w:ascii="方正小标宋简体" w:eastAsia="方正小标宋简体" w:hAnsi="宋体" w:cs="方正小标宋简体" w:hint="eastAsia"/>
          <w:bCs/>
          <w:kern w:val="0"/>
          <w:sz w:val="44"/>
          <w:szCs w:val="44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620" w:lineRule="exact"/>
        <w:jc w:val="center"/>
        <w:rPr>
          <w:rFonts w:ascii="方正小标宋简体" w:eastAsia="方正小标宋简体" w:hAnsi="宋体" w:cs="方正小标宋简体"/>
          <w:bCs/>
          <w:kern w:val="0"/>
          <w:sz w:val="44"/>
          <w:szCs w:val="44"/>
          <w:lang w:val="zh-CN"/>
        </w:rPr>
      </w:pPr>
      <w:r w:rsidRPr="00B6211D">
        <w:rPr>
          <w:rFonts w:ascii="方正小标宋简体" w:eastAsia="方正小标宋简体" w:hAnsi="宋体" w:cs="方正小标宋简体" w:hint="eastAsia"/>
          <w:bCs/>
          <w:kern w:val="0"/>
          <w:sz w:val="44"/>
          <w:szCs w:val="44"/>
          <w:lang w:val="zh-CN"/>
        </w:rPr>
        <w:lastRenderedPageBreak/>
        <w:t>湖州学院本科生专业分流实施办法</w:t>
      </w:r>
    </w:p>
    <w:p w:rsidR="00B6211D" w:rsidRPr="00B6211D" w:rsidRDefault="00B6211D" w:rsidP="00B6211D">
      <w:pPr>
        <w:autoSpaceDE w:val="0"/>
        <w:autoSpaceDN w:val="0"/>
        <w:adjustRightInd w:val="0"/>
        <w:spacing w:line="500" w:lineRule="exact"/>
        <w:rPr>
          <w:rFonts w:ascii="方正楷体_GBK" w:eastAsia="方正楷体_GBK"/>
          <w:bCs/>
          <w:kern w:val="0"/>
          <w:szCs w:val="28"/>
        </w:rPr>
      </w:pPr>
      <w:bookmarkStart w:id="2" w:name="OLE_LINK2"/>
      <w:bookmarkStart w:id="3" w:name="OLE_LINK1"/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专业分流是我校实行大类招生宽口径培养教学改革的重要环节</w:t>
      </w:r>
      <w:bookmarkEnd w:id="2"/>
      <w:bookmarkEnd w:id="3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。为有序地开展专业分流工作，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引导学生合理选择专业，满足学生个性化学习需求，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特制定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本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办法。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val="zh-CN"/>
        </w:rPr>
        <w:t>一、基本原则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（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一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）成绩优先原则。尊重学生个性发展，在学生自愿申请的基础上，依据学生的成绩，进行专业分流。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 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（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二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）专业布局合理原则。在尊重学生志愿的同时，考虑专业布局的合理性，提高教育资源的利用率。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（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三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）公开、公平、公正原则。学生专业分流的全过程，做到公开、公平、公正；结果公示，接受监督。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val="zh-CN"/>
        </w:rPr>
        <w:t>二、分流的模式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  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分流采取“1+3”的模式，按学科大类招生的学生进校后，第一学年修读大类基础平台课程，第二学年开始</w:t>
      </w:r>
      <w:proofErr w:type="gramStart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进入分流</w:t>
      </w:r>
      <w:proofErr w:type="gramEnd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专业（或专业方向）学习。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val="zh-CN"/>
        </w:rPr>
        <w:t>三、专业分流办法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val="zh-CN"/>
        </w:rPr>
        <w:t>（一）专业分流的依据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1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学生的成绩。按</w:t>
      </w:r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  <w:lang w:val="zh-CN"/>
        </w:rPr>
        <w:t>第一学期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教学计划规定修读的必修、限选课程平均</w:t>
      </w:r>
      <w:proofErr w:type="gramStart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学分绩点进行</w:t>
      </w:r>
      <w:proofErr w:type="gramEnd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排序，以此确定学生对专业或专业方向的选择权。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2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学生的志愿。在教学资源允许的情况下，尽量满足学生的个人志愿。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3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专业的特殊要求。某些专业（或专业方向）对相应课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lastRenderedPageBreak/>
        <w:t>程有特别要求的，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各二级学院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应在学生填报《湖州学院大类招生专业分流志愿表》前提出并公布，供学生填报志愿时参考。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4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根据招生政策、转专业文件等已经确定专业（或可以优先选择专业）的学生可不</w:t>
      </w:r>
      <w:proofErr w:type="gramStart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用参加</w:t>
      </w:r>
      <w:proofErr w:type="gramEnd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专业分流，直接进入确定（或选定）专业就读。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val="zh-CN"/>
        </w:rPr>
        <w:t>（二）专业分流的程序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专业分流限定在就读的大类所含专业（或专业方向）内。具体程序如下：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1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各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在</w:t>
      </w:r>
      <w:proofErr w:type="gramStart"/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  <w:lang w:val="zh-CN"/>
        </w:rPr>
        <w:t>第一学期末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向</w:t>
      </w:r>
      <w:proofErr w:type="gramEnd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教务处报送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学生所在大类各专业（或专业方向）的修读名额、条件，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教务处审核汇总，经分管校领导批准后向学生公布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。其中，各分流专业可接受学生的人数，不低于招生计划的110%。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2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学生在</w:t>
      </w:r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  <w:lang w:val="zh-CN"/>
        </w:rPr>
        <w:t>第二学期</w:t>
      </w:r>
      <w:proofErr w:type="gramStart"/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初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根据</w:t>
      </w:r>
      <w:proofErr w:type="gramEnd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分流条件填报《湖州学院大类招生专业分流志愿表》，并将《湖州学院大类招生专业分流志愿表》交到学生所在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3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各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根据学生</w:t>
      </w:r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  <w:lang w:val="zh-CN"/>
        </w:rPr>
        <w:t>第一</w:t>
      </w:r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学期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平均</w:t>
      </w:r>
      <w:proofErr w:type="gramStart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学分绩点高低</w:t>
      </w:r>
      <w:proofErr w:type="gramEnd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排序，参照学生志愿依次选拔，</w:t>
      </w:r>
      <w:proofErr w:type="gramStart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直至选满专业</w:t>
      </w:r>
      <w:proofErr w:type="gramEnd"/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（或专业方向）名额；对未能满足所填志愿者，由各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根据学生所填报志愿调整到还有空额的专业（或专业方向）修读。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4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分流专业（或专业方向）不满15人，该专业（或专业方向）停开，各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根据所制定的分流细则将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已选该专业的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学生分流至大类中其他专业（或专业方向）修读。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5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各二级学院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将专业分流结果公示3天。公示期内，学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lastRenderedPageBreak/>
        <w:t>生对专业分流结果有异议的，可向所在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提出书面意见，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要视具体情况予以处理。专业分流结果无异议后报教务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处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6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教务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处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审核后报分管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校领导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批准，并及时公布批准的专业分流结果，同时书面通知各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7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.</w:t>
      </w:r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各二级学院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按分流结果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于</w:t>
      </w:r>
      <w:proofErr w:type="gramStart"/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  <w:lang w:val="zh-CN"/>
        </w:rPr>
        <w:t>第二学</w:t>
      </w:r>
      <w:proofErr w:type="gramEnd"/>
      <w:r w:rsidRPr="00B6211D">
        <w:rPr>
          <w:rFonts w:ascii="仿宋_GB2312" w:eastAsia="仿宋_GB2312" w:hAnsi="宋体" w:cs="仿宋_GB2312" w:hint="eastAsia"/>
          <w:bCs/>
          <w:kern w:val="0"/>
          <w:sz w:val="32"/>
          <w:szCs w:val="32"/>
          <w:lang w:val="zh-CN"/>
        </w:rPr>
        <w:t>期末做好教务系统内分流调整工作及后续教学管理工作</w:t>
      </w:r>
      <w:r w:rsidRPr="00B6211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val="zh-CN"/>
        </w:rPr>
        <w:t>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r w:rsidRPr="00B6211D">
        <w:rPr>
          <w:rFonts w:ascii="仿宋_GB2312" w:eastAsia="仿宋_GB2312" w:hint="eastAsia"/>
          <w:bCs/>
          <w:sz w:val="32"/>
          <w:szCs w:val="32"/>
        </w:rPr>
        <w:t>本办法自2021年9月1日起施行，</w:t>
      </w:r>
      <w:r w:rsidRPr="00B6211D">
        <w:rPr>
          <w:rFonts w:ascii="仿宋_GB2312" w:eastAsia="仿宋_GB2312" w:hAnsi="宋体" w:hint="eastAsia"/>
          <w:bCs/>
          <w:sz w:val="32"/>
          <w:szCs w:val="32"/>
        </w:rPr>
        <w:t>由教务处负责解释</w:t>
      </w:r>
      <w:r w:rsidRPr="00B6211D">
        <w:rPr>
          <w:rFonts w:ascii="仿宋_GB2312" w:eastAsia="仿宋_GB2312" w:hint="eastAsia"/>
          <w:bCs/>
          <w:sz w:val="32"/>
          <w:szCs w:val="32"/>
        </w:rPr>
        <w:t>。</w:t>
      </w: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仿宋_GB2312"/>
          <w:bCs/>
          <w:kern w:val="0"/>
          <w:sz w:val="36"/>
          <w:szCs w:val="36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仿宋_GB2312"/>
          <w:bCs/>
          <w:kern w:val="0"/>
          <w:sz w:val="36"/>
          <w:szCs w:val="36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仿宋_GB2312"/>
          <w:bCs/>
          <w:kern w:val="0"/>
          <w:sz w:val="36"/>
          <w:szCs w:val="36"/>
          <w:lang w:val="zh-CN"/>
        </w:rPr>
      </w:pPr>
    </w:p>
    <w:p w:rsidR="00B6211D" w:rsidRPr="00B6211D" w:rsidRDefault="00B6211D" w:rsidP="00B6211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val="zh-CN"/>
        </w:rPr>
      </w:pPr>
      <w:bookmarkStart w:id="4" w:name="_GoBack"/>
      <w:bookmarkEnd w:id="4"/>
      <w:r w:rsidRPr="00B6211D">
        <w:rPr>
          <w:rFonts w:ascii="方正小标宋简体" w:eastAsia="方正小标宋简体" w:hAnsi="宋体" w:cs="仿宋_GB2312" w:hint="eastAsia"/>
          <w:bCs/>
          <w:kern w:val="0"/>
          <w:sz w:val="36"/>
          <w:szCs w:val="36"/>
          <w:lang w:val="zh-CN"/>
        </w:rPr>
        <w:lastRenderedPageBreak/>
        <w:t>湖州学院大类招生专业分流志愿表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06"/>
        <w:gridCol w:w="1770"/>
        <w:gridCol w:w="51"/>
        <w:gridCol w:w="822"/>
        <w:gridCol w:w="571"/>
        <w:gridCol w:w="1951"/>
        <w:gridCol w:w="1050"/>
        <w:gridCol w:w="1276"/>
      </w:tblGrid>
      <w:tr w:rsidR="00B6211D" w:rsidRPr="00B6211D" w:rsidTr="004F2E5F">
        <w:trPr>
          <w:trHeight w:val="711"/>
        </w:trPr>
        <w:tc>
          <w:tcPr>
            <w:tcW w:w="1440" w:type="dxa"/>
            <w:gridSpan w:val="2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1770" w:type="dxa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73" w:type="dxa"/>
            <w:gridSpan w:val="2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522" w:type="dxa"/>
            <w:gridSpan w:val="2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0" w:type="dxa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76" w:type="dxa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B6211D" w:rsidRPr="00B6211D" w:rsidTr="004F2E5F">
        <w:trPr>
          <w:trHeight w:val="620"/>
        </w:trPr>
        <w:tc>
          <w:tcPr>
            <w:tcW w:w="1440" w:type="dxa"/>
            <w:gridSpan w:val="2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770" w:type="dxa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73" w:type="dxa"/>
            <w:gridSpan w:val="2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大类</w:t>
            </w:r>
          </w:p>
        </w:tc>
        <w:tc>
          <w:tcPr>
            <w:tcW w:w="2522" w:type="dxa"/>
            <w:gridSpan w:val="2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0" w:type="dxa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年级</w:t>
            </w:r>
          </w:p>
        </w:tc>
        <w:tc>
          <w:tcPr>
            <w:tcW w:w="1276" w:type="dxa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B6211D" w:rsidRPr="00B6211D" w:rsidTr="004F2E5F">
        <w:trPr>
          <w:trHeight w:val="636"/>
        </w:trPr>
        <w:tc>
          <w:tcPr>
            <w:tcW w:w="1440" w:type="dxa"/>
            <w:gridSpan w:val="2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特长</w:t>
            </w:r>
          </w:p>
        </w:tc>
        <w:tc>
          <w:tcPr>
            <w:tcW w:w="3214" w:type="dxa"/>
            <w:gridSpan w:val="4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326" w:type="dxa"/>
            <w:gridSpan w:val="2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B6211D" w:rsidRPr="00B6211D" w:rsidTr="004F2E5F">
        <w:trPr>
          <w:trHeight w:val="694"/>
        </w:trPr>
        <w:tc>
          <w:tcPr>
            <w:tcW w:w="3261" w:type="dxa"/>
            <w:gridSpan w:val="4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第一学期平均</w:t>
            </w:r>
            <w:proofErr w:type="gramStart"/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学分绩点</w:t>
            </w:r>
            <w:proofErr w:type="gramEnd"/>
          </w:p>
        </w:tc>
        <w:tc>
          <w:tcPr>
            <w:tcW w:w="5670" w:type="dxa"/>
            <w:gridSpan w:val="5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B6211D" w:rsidRPr="00B6211D" w:rsidTr="004F2E5F">
        <w:trPr>
          <w:trHeight w:val="666"/>
        </w:trPr>
        <w:tc>
          <w:tcPr>
            <w:tcW w:w="1134" w:type="dxa"/>
            <w:vMerge w:val="restart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填</w:t>
            </w: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报</w:t>
            </w: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志</w:t>
            </w: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愿</w:t>
            </w:r>
          </w:p>
        </w:tc>
        <w:tc>
          <w:tcPr>
            <w:tcW w:w="2127" w:type="dxa"/>
            <w:gridSpan w:val="3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第一志愿</w:t>
            </w:r>
          </w:p>
        </w:tc>
        <w:tc>
          <w:tcPr>
            <w:tcW w:w="5670" w:type="dxa"/>
            <w:gridSpan w:val="5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B6211D" w:rsidRPr="00B6211D" w:rsidTr="004F2E5F">
        <w:trPr>
          <w:trHeight w:val="704"/>
        </w:trPr>
        <w:tc>
          <w:tcPr>
            <w:tcW w:w="1134" w:type="dxa"/>
            <w:vMerge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gridSpan w:val="3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第二志愿</w:t>
            </w:r>
          </w:p>
        </w:tc>
        <w:tc>
          <w:tcPr>
            <w:tcW w:w="5670" w:type="dxa"/>
            <w:gridSpan w:val="5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B6211D" w:rsidRPr="00B6211D" w:rsidTr="004F2E5F">
        <w:trPr>
          <w:trHeight w:val="724"/>
        </w:trPr>
        <w:tc>
          <w:tcPr>
            <w:tcW w:w="1134" w:type="dxa"/>
            <w:vMerge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gridSpan w:val="3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第三志愿</w:t>
            </w:r>
          </w:p>
        </w:tc>
        <w:tc>
          <w:tcPr>
            <w:tcW w:w="5670" w:type="dxa"/>
            <w:gridSpan w:val="5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B6211D" w:rsidRPr="00B6211D" w:rsidTr="004F2E5F">
        <w:trPr>
          <w:trHeight w:val="694"/>
        </w:trPr>
        <w:tc>
          <w:tcPr>
            <w:tcW w:w="1134" w:type="dxa"/>
            <w:vMerge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gridSpan w:val="3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第四志愿</w:t>
            </w:r>
          </w:p>
        </w:tc>
        <w:tc>
          <w:tcPr>
            <w:tcW w:w="5670" w:type="dxa"/>
            <w:gridSpan w:val="5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B6211D" w:rsidRPr="00B6211D" w:rsidTr="004F2E5F">
        <w:trPr>
          <w:trHeight w:val="2145"/>
        </w:trPr>
        <w:tc>
          <w:tcPr>
            <w:tcW w:w="1134" w:type="dxa"/>
            <w:vMerge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97" w:type="dxa"/>
            <w:gridSpan w:val="8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600" w:lineRule="auto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 xml:space="preserve">                  学生本人签字：</w:t>
            </w: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600" w:lineRule="auto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 xml:space="preserve">                            年    月    日</w:t>
            </w:r>
          </w:p>
        </w:tc>
      </w:tr>
      <w:tr w:rsidR="00B6211D" w:rsidRPr="00B6211D" w:rsidTr="004F2E5F">
        <w:trPr>
          <w:trHeight w:val="2814"/>
        </w:trPr>
        <w:tc>
          <w:tcPr>
            <w:tcW w:w="1134" w:type="dxa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所在</w:t>
            </w: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二级</w:t>
            </w: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学院</w:t>
            </w: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797" w:type="dxa"/>
            <w:gridSpan w:val="8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ind w:leftChars="304" w:left="2178" w:hangingChars="550" w:hanging="1540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ind w:leftChars="304" w:left="2178" w:hangingChars="550" w:hanging="1540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根据该同学成绩</w:t>
            </w:r>
            <w:proofErr w:type="gramStart"/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绩</w:t>
            </w:r>
            <w:proofErr w:type="gramEnd"/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点，参考所填志愿，</w:t>
            </w:r>
            <w:proofErr w:type="gramStart"/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同意分流</w:t>
            </w:r>
            <w:proofErr w:type="gramEnd"/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到               专业。</w:t>
            </w: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 xml:space="preserve">                       分管领导：</w:t>
            </w: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 xml:space="preserve">          （公章）</w:t>
            </w:r>
          </w:p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 xml:space="preserve">                             年   月   日</w:t>
            </w:r>
          </w:p>
        </w:tc>
      </w:tr>
      <w:tr w:rsidR="00B6211D" w:rsidRPr="00B6211D" w:rsidTr="004F2E5F">
        <w:trPr>
          <w:trHeight w:val="1096"/>
        </w:trPr>
        <w:tc>
          <w:tcPr>
            <w:tcW w:w="1134" w:type="dxa"/>
            <w:vAlign w:val="center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  <w:r w:rsidRPr="00B6211D"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7797" w:type="dxa"/>
            <w:gridSpan w:val="8"/>
          </w:tcPr>
          <w:p w:rsidR="00B6211D" w:rsidRPr="00B6211D" w:rsidRDefault="00B6211D" w:rsidP="00B6211D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</w:tbl>
    <w:p w:rsidR="004B1E63" w:rsidRPr="004B1E63" w:rsidRDefault="004B1E63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A568A7" w:rsidRPr="0063185D" w:rsidRDefault="00A568A7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4D7C17" w:rsidRPr="0063185D" w:rsidRDefault="00C25D8D">
      <w:pPr>
        <w:spacing w:line="100" w:lineRule="exact"/>
        <w:ind w:leftChars="-100" w:left="-210"/>
        <w:rPr>
          <w:rFonts w:ascii="仿宋_GB2312" w:eastAsia="仿宋_GB2312"/>
          <w:b/>
          <w:color w:val="000000" w:themeColor="text1"/>
          <w:sz w:val="32"/>
          <w:szCs w:val="32"/>
          <w:u w:val="single"/>
        </w:rPr>
      </w:pPr>
      <w:r w:rsidRPr="0063185D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                                                       </w:t>
      </w:r>
    </w:p>
    <w:p w:rsidR="004D7C17" w:rsidRPr="0063185D" w:rsidRDefault="00C25D8D">
      <w:pPr>
        <w:spacing w:line="440" w:lineRule="exact"/>
        <w:ind w:leftChars="-100" w:left="-210"/>
        <w:rPr>
          <w:rFonts w:ascii="仿宋_GB2312" w:eastAsia="仿宋_GB2312"/>
          <w:color w:val="000000" w:themeColor="text1"/>
          <w:sz w:val="32"/>
          <w:szCs w:val="32"/>
        </w:rPr>
      </w:pP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湖州学院</w:t>
      </w:r>
      <w:r w:rsidR="00A568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</w:t>
      </w:r>
      <w:r w:rsidR="007D1938" w:rsidRPr="0063185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D37B5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</w:t>
      </w:r>
      <w:r w:rsidR="00F4148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202</w:t>
      </w:r>
      <w:r w:rsidR="004D2089" w:rsidRPr="00F41489"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年</w:t>
      </w:r>
      <w:r w:rsidR="000833BA">
        <w:rPr>
          <w:rFonts w:ascii="仿宋_GB2312" w:eastAsia="仿宋_GB2312" w:hint="eastAsia"/>
          <w:color w:val="000000" w:themeColor="text1"/>
          <w:sz w:val="28"/>
          <w:szCs w:val="28"/>
        </w:rPr>
        <w:t>8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065EFB" w:rsidRPr="00F41489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4B1E63">
        <w:rPr>
          <w:rFonts w:ascii="仿宋_GB2312" w:eastAsia="仿宋_GB2312" w:hint="eastAsia"/>
          <w:color w:val="000000" w:themeColor="text1"/>
          <w:sz w:val="28"/>
          <w:szCs w:val="28"/>
        </w:rPr>
        <w:t>6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日印发</w:t>
      </w:r>
    </w:p>
    <w:p w:rsidR="004D7C17" w:rsidRPr="0063185D" w:rsidRDefault="00C25D8D">
      <w:pPr>
        <w:spacing w:line="100" w:lineRule="exact"/>
        <w:ind w:leftChars="-100" w:left="-210"/>
        <w:jc w:val="left"/>
        <w:rPr>
          <w:rFonts w:ascii="仿宋_GB2312" w:eastAsia="仿宋_GB2312"/>
          <w:b/>
          <w:color w:val="000000" w:themeColor="text1"/>
          <w:sz w:val="32"/>
          <w:szCs w:val="32"/>
          <w:u w:val="single"/>
        </w:rPr>
      </w:pPr>
      <w:r w:rsidRPr="0063185D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sectPr w:rsidR="004D7C17" w:rsidRPr="0063185D" w:rsidSect="008C02AF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8C" w:rsidRDefault="004E4E8C" w:rsidP="003D36FB">
      <w:r>
        <w:separator/>
      </w:r>
    </w:p>
  </w:endnote>
  <w:endnote w:type="continuationSeparator" w:id="0">
    <w:p w:rsidR="004E4E8C" w:rsidRDefault="004E4E8C" w:rsidP="003D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</w:font>
  <w:font w:name="方正楷体_GBK">
    <w:altName w:val="微软雅黑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71134"/>
      <w:docPartObj>
        <w:docPartGallery w:val="Page Numbers (Bottom of Page)"/>
        <w:docPartUnique/>
      </w:docPartObj>
    </w:sdtPr>
    <w:sdtEndPr/>
    <w:sdtContent>
      <w:p w:rsidR="003D36FB" w:rsidRDefault="003D36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11D" w:rsidRPr="00B6211D">
          <w:rPr>
            <w:noProof/>
            <w:lang w:val="zh-CN"/>
          </w:rPr>
          <w:t>5</w:t>
        </w:r>
        <w:r>
          <w:fldChar w:fldCharType="end"/>
        </w:r>
      </w:p>
    </w:sdtContent>
  </w:sdt>
  <w:p w:rsidR="003D36FB" w:rsidRDefault="003D36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8C" w:rsidRDefault="004E4E8C" w:rsidP="003D36FB">
      <w:r>
        <w:separator/>
      </w:r>
    </w:p>
  </w:footnote>
  <w:footnote w:type="continuationSeparator" w:id="0">
    <w:p w:rsidR="004E4E8C" w:rsidRDefault="004E4E8C" w:rsidP="003D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3C074"/>
    <w:multiLevelType w:val="singleLevel"/>
    <w:tmpl w:val="FFE3C0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D4DE4E"/>
    <w:multiLevelType w:val="singleLevel"/>
    <w:tmpl w:val="2DD4DE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255262"/>
    <w:multiLevelType w:val="singleLevel"/>
    <w:tmpl w:val="39255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BE7FB2"/>
    <w:multiLevelType w:val="hybridMultilevel"/>
    <w:tmpl w:val="D4EE6212"/>
    <w:lvl w:ilvl="0" w:tplc="580645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590"/>
    <w:rsid w:val="00023A4E"/>
    <w:rsid w:val="00036F69"/>
    <w:rsid w:val="0004648D"/>
    <w:rsid w:val="00065EFB"/>
    <w:rsid w:val="000833BA"/>
    <w:rsid w:val="00087022"/>
    <w:rsid w:val="000C3C99"/>
    <w:rsid w:val="00101357"/>
    <w:rsid w:val="001364E0"/>
    <w:rsid w:val="00137162"/>
    <w:rsid w:val="001574D0"/>
    <w:rsid w:val="00176CCE"/>
    <w:rsid w:val="001956AA"/>
    <w:rsid w:val="001A1D46"/>
    <w:rsid w:val="001E2BA5"/>
    <w:rsid w:val="002028EF"/>
    <w:rsid w:val="0021464B"/>
    <w:rsid w:val="00236748"/>
    <w:rsid w:val="00255C56"/>
    <w:rsid w:val="00267F10"/>
    <w:rsid w:val="002A2646"/>
    <w:rsid w:val="002A4499"/>
    <w:rsid w:val="002A660E"/>
    <w:rsid w:val="003A23E8"/>
    <w:rsid w:val="003B1CD5"/>
    <w:rsid w:val="003D36FB"/>
    <w:rsid w:val="00421C28"/>
    <w:rsid w:val="00455BAE"/>
    <w:rsid w:val="00482DF5"/>
    <w:rsid w:val="004B1E63"/>
    <w:rsid w:val="004B64D9"/>
    <w:rsid w:val="004D2089"/>
    <w:rsid w:val="004D7C17"/>
    <w:rsid w:val="004E4E8C"/>
    <w:rsid w:val="004E7867"/>
    <w:rsid w:val="004F0712"/>
    <w:rsid w:val="004F5517"/>
    <w:rsid w:val="00503B61"/>
    <w:rsid w:val="00511006"/>
    <w:rsid w:val="00553A22"/>
    <w:rsid w:val="00575E7E"/>
    <w:rsid w:val="005B7BED"/>
    <w:rsid w:val="005C628F"/>
    <w:rsid w:val="005D4753"/>
    <w:rsid w:val="005D5CF4"/>
    <w:rsid w:val="005E3AF3"/>
    <w:rsid w:val="00606A94"/>
    <w:rsid w:val="006149EA"/>
    <w:rsid w:val="0061666F"/>
    <w:rsid w:val="0063185D"/>
    <w:rsid w:val="00641B7E"/>
    <w:rsid w:val="0067193B"/>
    <w:rsid w:val="00680A11"/>
    <w:rsid w:val="006D4BA4"/>
    <w:rsid w:val="006F2B6D"/>
    <w:rsid w:val="00721C29"/>
    <w:rsid w:val="0073609F"/>
    <w:rsid w:val="007A7D0D"/>
    <w:rsid w:val="007B6B14"/>
    <w:rsid w:val="007D1938"/>
    <w:rsid w:val="007D7B01"/>
    <w:rsid w:val="0081225C"/>
    <w:rsid w:val="008354F7"/>
    <w:rsid w:val="00843899"/>
    <w:rsid w:val="0084737A"/>
    <w:rsid w:val="00865B02"/>
    <w:rsid w:val="00895A5F"/>
    <w:rsid w:val="008C02AF"/>
    <w:rsid w:val="008E6CE0"/>
    <w:rsid w:val="008F2E87"/>
    <w:rsid w:val="0090704A"/>
    <w:rsid w:val="0093490B"/>
    <w:rsid w:val="00946322"/>
    <w:rsid w:val="00953C42"/>
    <w:rsid w:val="009640CD"/>
    <w:rsid w:val="0098732B"/>
    <w:rsid w:val="00992854"/>
    <w:rsid w:val="009B0B54"/>
    <w:rsid w:val="009C429A"/>
    <w:rsid w:val="009C5E41"/>
    <w:rsid w:val="009E5A6E"/>
    <w:rsid w:val="00A06B46"/>
    <w:rsid w:val="00A359BF"/>
    <w:rsid w:val="00A44616"/>
    <w:rsid w:val="00A466C6"/>
    <w:rsid w:val="00A5583B"/>
    <w:rsid w:val="00A568A7"/>
    <w:rsid w:val="00A91483"/>
    <w:rsid w:val="00AB335C"/>
    <w:rsid w:val="00AC522D"/>
    <w:rsid w:val="00B34590"/>
    <w:rsid w:val="00B6211D"/>
    <w:rsid w:val="00BB4541"/>
    <w:rsid w:val="00BB5C58"/>
    <w:rsid w:val="00BC3680"/>
    <w:rsid w:val="00BD21BB"/>
    <w:rsid w:val="00C139EE"/>
    <w:rsid w:val="00C14640"/>
    <w:rsid w:val="00C227FF"/>
    <w:rsid w:val="00C25D8D"/>
    <w:rsid w:val="00C336E0"/>
    <w:rsid w:val="00C33976"/>
    <w:rsid w:val="00C36B17"/>
    <w:rsid w:val="00C601E9"/>
    <w:rsid w:val="00C86E26"/>
    <w:rsid w:val="00CA3DD7"/>
    <w:rsid w:val="00CA60E2"/>
    <w:rsid w:val="00D06A83"/>
    <w:rsid w:val="00D07E8C"/>
    <w:rsid w:val="00D34DD7"/>
    <w:rsid w:val="00D37B5D"/>
    <w:rsid w:val="00DB2CAE"/>
    <w:rsid w:val="00DB395E"/>
    <w:rsid w:val="00DD7595"/>
    <w:rsid w:val="00E12B89"/>
    <w:rsid w:val="00E248DE"/>
    <w:rsid w:val="00EA400D"/>
    <w:rsid w:val="00EB0088"/>
    <w:rsid w:val="00EF6A03"/>
    <w:rsid w:val="00EF74B6"/>
    <w:rsid w:val="00F3706F"/>
    <w:rsid w:val="00F41489"/>
    <w:rsid w:val="00F706A3"/>
    <w:rsid w:val="00F8788E"/>
    <w:rsid w:val="00FA026B"/>
    <w:rsid w:val="00FA144D"/>
    <w:rsid w:val="00FF4B33"/>
    <w:rsid w:val="424B2625"/>
    <w:rsid w:val="568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Elegan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spacing w:line="800" w:lineRule="exact"/>
      <w:ind w:right="-358"/>
    </w:pPr>
    <w:rPr>
      <w:sz w:val="28"/>
    </w:rPr>
  </w:style>
  <w:style w:type="paragraph" w:styleId="a4">
    <w:name w:val="Balloon Text"/>
    <w:basedOn w:val="a"/>
    <w:link w:val="Char0"/>
    <w:qFormat/>
    <w:rPr>
      <w:rFonts w:eastAsiaTheme="minorEastAsia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table" w:styleId="a8">
    <w:name w:val="Table Elegant"/>
    <w:basedOn w:val="a1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9">
    <w:name w:val="page number"/>
  </w:style>
  <w:style w:type="character" w:styleId="aa">
    <w:name w:val="Emphasis"/>
    <w:qFormat/>
    <w:rPr>
      <w:i/>
      <w:iCs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qFormat/>
    <w:rPr>
      <w:rFonts w:ascii="Times New Roman" w:hAnsi="Times New Roman"/>
      <w:sz w:val="18"/>
      <w:szCs w:val="18"/>
    </w:rPr>
  </w:style>
  <w:style w:type="character" w:customStyle="1" w:styleId="Char10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标题 Char"/>
    <w:link w:val="a7"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style31">
    <w:name w:val="style31"/>
    <w:rPr>
      <w:b/>
      <w:bCs/>
      <w:sz w:val="21"/>
      <w:szCs w:val="21"/>
    </w:rPr>
  </w:style>
  <w:style w:type="character" w:customStyle="1" w:styleId="Char20">
    <w:name w:val="标题 Char2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批注框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评奖】标题"/>
    <w:basedOn w:val="p0"/>
    <w:qFormat/>
    <w:pPr>
      <w:spacing w:line="360" w:lineRule="exact"/>
      <w:jc w:val="left"/>
    </w:pPr>
    <w:rPr>
      <w:rFonts w:ascii="宋体" w:hAnsi="宋体"/>
      <w:b/>
      <w:bCs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1">
    <w:name w:val="样式1"/>
    <w:basedOn w:val="p0"/>
    <w:qFormat/>
    <w:pPr>
      <w:spacing w:line="360" w:lineRule="exact"/>
      <w:jc w:val="left"/>
    </w:pPr>
    <w:rPr>
      <w:rFonts w:ascii="宋体" w:hAnsi="宋体"/>
      <w:sz w:val="24"/>
      <w:szCs w:val="24"/>
    </w:rPr>
  </w:style>
  <w:style w:type="paragraph" w:customStyle="1" w:styleId="ac">
    <w:name w:val="动态正文"/>
    <w:basedOn w:val="a"/>
    <w:qFormat/>
    <w:pPr>
      <w:spacing w:line="400" w:lineRule="exact"/>
      <w:ind w:firstLineChars="200" w:firstLine="200"/>
    </w:pPr>
    <w:rPr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BAD82-B596-48B9-8137-24FFA839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271</Words>
  <Characters>1546</Characters>
  <Application>Microsoft Office Word</Application>
  <DocSecurity>0</DocSecurity>
  <Lines>12</Lines>
  <Paragraphs>3</Paragraphs>
  <ScaleCrop>false</ScaleCrop>
  <Company>HP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HP</cp:lastModifiedBy>
  <cp:revision>104</cp:revision>
  <cp:lastPrinted>2021-06-11T02:50:00Z</cp:lastPrinted>
  <dcterms:created xsi:type="dcterms:W3CDTF">2017-10-16T02:21:00Z</dcterms:created>
  <dcterms:modified xsi:type="dcterms:W3CDTF">2021-08-27T10:59:00Z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