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ascii="Times New Roman" w:hAnsi="Times New Roman" w:eastAsia="仿宋" w:cs="仿宋"/>
          <w:b/>
          <w:bCs/>
          <w:sz w:val="36"/>
          <w:szCs w:val="32"/>
        </w:rPr>
      </w:pPr>
      <w:bookmarkStart w:id="0" w:name="_GoBack"/>
      <w:bookmarkEnd w:id="0"/>
    </w:p>
    <w:p>
      <w:pPr>
        <w:spacing w:line="560" w:lineRule="exact"/>
        <w:jc w:val="center"/>
        <w:outlineLvl w:val="1"/>
        <w:rPr>
          <w:rFonts w:ascii="Times New Roman" w:hAnsi="Times New Roman" w:eastAsia="方正小标宋简体" w:cs="Times New Roman"/>
          <w:bCs/>
          <w:sz w:val="44"/>
        </w:rPr>
      </w:pPr>
      <w:r>
        <w:rPr>
          <w:rFonts w:hint="eastAsia" w:ascii="Times New Roman" w:hAnsi="Times New Roman" w:eastAsia="方正小标宋简体" w:cs="Times New Roman"/>
          <w:bCs/>
          <w:sz w:val="44"/>
        </w:rPr>
        <w:t>浙江省大学生金融创新大赛作品格式要求</w:t>
      </w:r>
    </w:p>
    <w:p>
      <w:pPr>
        <w:spacing w:line="560" w:lineRule="exact"/>
        <w:jc w:val="center"/>
        <w:outlineLvl w:val="1"/>
        <w:rPr>
          <w:rFonts w:ascii="Times New Roman" w:hAnsi="Times New Roman" w:eastAsia="仿宋" w:cs="仿宋"/>
          <w:b/>
          <w:bCs/>
          <w:sz w:val="36"/>
          <w:szCs w:val="32"/>
        </w:rPr>
      </w:pPr>
    </w:p>
    <w:p>
      <w:pPr>
        <w:spacing w:line="560" w:lineRule="exact"/>
        <w:ind w:firstLine="627" w:firstLineChars="196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宋体"/>
          <w:sz w:val="32"/>
          <w:szCs w:val="32"/>
        </w:rPr>
        <w:t>一、</w:t>
      </w:r>
      <w:r>
        <w:rPr>
          <w:rFonts w:hint="eastAsia" w:ascii="Times New Roman" w:hAnsi="Times New Roman" w:eastAsia="黑体"/>
          <w:sz w:val="32"/>
          <w:szCs w:val="32"/>
        </w:rPr>
        <w:t>基本情况</w:t>
      </w:r>
    </w:p>
    <w:p>
      <w:pPr>
        <w:spacing w:line="560" w:lineRule="exact"/>
        <w:ind w:firstLine="627" w:firstLineChars="196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（</w:t>
      </w:r>
      <w:r>
        <w:rPr>
          <w:rFonts w:hint="eastAsia" w:ascii="Times New Roman" w:hAnsi="Times New Roman" w:eastAsia="楷体" w:cs="宋体"/>
          <w:sz w:val="32"/>
          <w:szCs w:val="32"/>
        </w:rPr>
        <w:t>一</w:t>
      </w:r>
      <w:r>
        <w:rPr>
          <w:rFonts w:hint="eastAsia" w:ascii="Times New Roman" w:hAnsi="Times New Roman" w:eastAsia="楷体"/>
          <w:sz w:val="32"/>
          <w:szCs w:val="32"/>
        </w:rPr>
        <w:t>）作品标题（仿宋，三号，粗体）</w:t>
      </w:r>
    </w:p>
    <w:p>
      <w:pPr>
        <w:spacing w:line="560" w:lineRule="exact"/>
        <w:ind w:firstLine="627" w:firstLineChars="196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（二）摘要、关键词（仿宋，五号，字数不超过500字）</w:t>
      </w:r>
    </w:p>
    <w:p>
      <w:pPr>
        <w:spacing w:line="560" w:lineRule="exact"/>
        <w:ind w:firstLine="392" w:firstLineChars="196"/>
        <w:rPr>
          <w:rFonts w:ascii="Times New Roman" w:hAnsi="Times New Roman" w:eastAsia="仿宋_GB2312"/>
          <w:sz w:val="28"/>
          <w:szCs w:val="28"/>
        </w:rPr>
      </w:pPr>
      <w:r>
        <w:rPr>
          <w:rFonts w:ascii="Times New Roman" w:hAnsi="Times New Roman" w:eastAsia="仿宋_GB2312"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659130</wp:posOffset>
                </wp:positionV>
                <wp:extent cx="5724525" cy="3345180"/>
                <wp:effectExtent l="4445" t="4445" r="5080" b="22225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24525" cy="334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黑体" w:hAnsi="黑体" w:eastAsia="黑体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32"/>
                                <w:szCs w:val="32"/>
                              </w:rPr>
                              <w:t>论村民自治</w:t>
                            </w:r>
                          </w:p>
                          <w:p>
                            <w:pPr>
                              <w:rPr>
                                <w:rFonts w:ascii="仿宋" w:hAnsi="仿宋" w:eastAsia="仿宋"/>
                                <w:sz w:val="32"/>
                                <w:szCs w:val="32"/>
                                <w14:textOutline w14:w="9525" w14:cap="rnd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32"/>
                                <w:szCs w:val="32"/>
                              </w:rPr>
                              <w:t>摘  要：</w:t>
                            </w:r>
                          </w:p>
                          <w:p>
                            <w:pPr>
                              <w:ind w:firstLine="480"/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32"/>
                                <w:szCs w:val="32"/>
                              </w:rPr>
                              <w:t>ＸＸＸＸＸＸＸＸＸＸＸＸＸＸＸＸＸＸＸＸＸＸＸＸＸＸＸＸＸＸＸＸＸＸＸＸＸＸＸ</w:t>
                            </w:r>
                          </w:p>
                          <w:p>
                            <w:pPr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32"/>
                                <w:szCs w:val="32"/>
                              </w:rPr>
                              <w:t>关键词：ＸＸＸＸ　ＸＸＸＸ　ＸＸＸＸ　ＸＸＸＸ</w:t>
                            </w:r>
                          </w:p>
                          <w:p>
                            <w:pPr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32"/>
                                <w:szCs w:val="32"/>
                              </w:rPr>
                              <w:t>［正文］</w:t>
                            </w:r>
                          </w:p>
                          <w:p>
                            <w:pPr>
                              <w:rPr>
                                <w:rFonts w:ascii="仿宋" w:hAnsi="仿宋" w:eastAsia="仿宋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 w:ascii="仿宋" w:hAnsi="仿宋" w:eastAsia="仿宋"/>
                                <w:sz w:val="32"/>
                                <w:szCs w:val="32"/>
                              </w:rPr>
                              <w:t>　　ＸＸＸＸＸＸＸＸＸＸＸＸＸＸＸＸＸＸＸＸＸＸＸＸＸＸＸＸＸＸ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6" o:spt="202" type="#_x0000_t202" style="position:absolute;left:0pt;margin-left:0.4pt;margin-top:51.9pt;height:263.4pt;width:450.75pt;mso-wrap-distance-bottom:0pt;mso-wrap-distance-left:9pt;mso-wrap-distance-right:9pt;mso-wrap-distance-top:0pt;z-index:251659264;mso-width-relative:page;mso-height-relative:page;" fillcolor="#FFFFFF" filled="t" stroked="t" coordsize="21600,21600" o:gfxdata="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D3FVzTWAAAACAEAAA8AAAAAAAAA&#10;AQAgAAAAIgAAAGRycy9kb3ducmV2LnhtbFBLAQIUABQAAAAIAIdO4kBVJTr1EwIAAF4EAAAOAAAA&#10;AAAAAAEAIAAAACUBAABkcnMvZTJvRG9jLnhtbFBLBQYAAAAABgAGAFkBAACq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rFonts w:ascii="黑体" w:hAnsi="黑体" w:eastAsia="黑体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黑体" w:hAnsi="黑体" w:eastAsia="黑体"/>
                          <w:sz w:val="32"/>
                          <w:szCs w:val="32"/>
                        </w:rPr>
                        <w:t>论村民自治</w:t>
                      </w:r>
                    </w:p>
                    <w:p>
                      <w:pPr>
                        <w:rPr>
                          <w:rFonts w:ascii="仿宋" w:hAnsi="仿宋" w:eastAsia="仿宋"/>
                          <w:sz w:val="32"/>
                          <w:szCs w:val="32"/>
                          <w14:textOutline w14:w="9525" w14:cap="rnd" w14:cmpd="sng" w14:algn="ctr">
                            <w14:solidFill>
                              <w14:srgbClr w14:val="000000"/>
                            </w14:solidFill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hint="eastAsia" w:ascii="仿宋" w:hAnsi="仿宋" w:eastAsia="仿宋"/>
                          <w:sz w:val="32"/>
                          <w:szCs w:val="32"/>
                        </w:rPr>
                        <w:t>摘  要：</w:t>
                      </w:r>
                    </w:p>
                    <w:p>
                      <w:pPr>
                        <w:ind w:firstLine="480"/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32"/>
                          <w:szCs w:val="32"/>
                        </w:rPr>
                        <w:t>ＸＸＸＸＸＸＸＸＸＸＸＸＸＸＸＸＸＸＸＸＸＸＸＸＸＸＸＸＸＸＸＸＸＸＸＸＸＸＸ</w:t>
                      </w:r>
                    </w:p>
                    <w:p>
                      <w:pPr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32"/>
                          <w:szCs w:val="32"/>
                        </w:rPr>
                        <w:t>关键词：ＸＸＸＸ　ＸＸＸＸ　ＸＸＸＸ　ＸＸＸＸ</w:t>
                      </w:r>
                    </w:p>
                    <w:p>
                      <w:pPr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32"/>
                          <w:szCs w:val="32"/>
                        </w:rPr>
                        <w:t>［正文］</w:t>
                      </w:r>
                    </w:p>
                    <w:p>
                      <w:pPr>
                        <w:rPr>
                          <w:rFonts w:ascii="仿宋" w:hAnsi="仿宋" w:eastAsia="仿宋"/>
                          <w:sz w:val="32"/>
                          <w:szCs w:val="32"/>
                        </w:rPr>
                      </w:pPr>
                      <w:r>
                        <w:rPr>
                          <w:rFonts w:hint="eastAsia" w:ascii="仿宋" w:hAnsi="仿宋" w:eastAsia="仿宋"/>
                          <w:sz w:val="32"/>
                          <w:szCs w:val="32"/>
                        </w:rPr>
                        <w:t>　　ＸＸＸＸＸＸＸＸＸＸＸＸＸＸＸＸＸＸＸＸＸＸＸＸＸＸＸＸＸＸ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Times New Roman" w:hAnsi="Times New Roman" w:eastAsia="仿宋_GB2312"/>
          <w:sz w:val="28"/>
          <w:szCs w:val="28"/>
        </w:rPr>
        <w:t>【例】</w:t>
      </w:r>
    </w:p>
    <w:p>
      <w:pPr>
        <w:spacing w:line="560" w:lineRule="exact"/>
        <w:rPr>
          <w:rFonts w:ascii="Times New Roman" w:hAnsi="Times New Roman" w:eastAsia="仿宋_GB2312"/>
          <w:sz w:val="28"/>
          <w:szCs w:val="28"/>
        </w:rPr>
      </w:pPr>
    </w:p>
    <w:p>
      <w:pPr>
        <w:spacing w:line="560" w:lineRule="exact"/>
        <w:ind w:firstLine="627" w:firstLineChars="196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 w:cs="宋体"/>
          <w:sz w:val="32"/>
          <w:szCs w:val="32"/>
        </w:rPr>
        <w:t>二、</w:t>
      </w:r>
      <w:r>
        <w:rPr>
          <w:rFonts w:hint="eastAsia" w:ascii="Times New Roman" w:hAnsi="Times New Roman" w:eastAsia="黑体"/>
          <w:sz w:val="32"/>
          <w:szCs w:val="32"/>
        </w:rPr>
        <w:t>文字格式</w:t>
      </w:r>
    </w:p>
    <w:p>
      <w:pPr>
        <w:spacing w:line="560" w:lineRule="exact"/>
        <w:ind w:firstLine="627" w:firstLineChars="196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（一）正文（全部楷体，四号，标题需加粗）</w:t>
      </w:r>
    </w:p>
    <w:p>
      <w:pPr>
        <w:spacing w:line="560" w:lineRule="exact"/>
        <w:ind w:firstLine="627" w:firstLineChars="196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（二）行距(全部采用单倍行距)</w:t>
      </w:r>
    </w:p>
    <w:p>
      <w:pPr>
        <w:spacing w:line="560" w:lineRule="exact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ascii="Times New Roman" w:hAnsi="Times New Roman" w:eastAsia="仿宋_GB2312"/>
          <w:b/>
          <w:bCs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50800</wp:posOffset>
                </wp:positionH>
                <wp:positionV relativeFrom="paragraph">
                  <wp:posOffset>423545</wp:posOffset>
                </wp:positionV>
                <wp:extent cx="5744845" cy="2095500"/>
                <wp:effectExtent l="4445" t="4445" r="22860" b="14605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4845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ind w:left="420" w:leftChars="200"/>
                              <w:rPr>
                                <w:rFonts w:ascii="仿宋_GB2312" w:eastAsia="仿宋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bCs/>
                                <w:sz w:val="28"/>
                                <w:szCs w:val="28"/>
                              </w:rPr>
                              <w:t>一、村民自治的历史[一级标题]</w:t>
                            </w:r>
                          </w:p>
                          <w:p>
                            <w:pPr>
                              <w:ind w:left="420"/>
                              <w:rPr>
                                <w:rFonts w:ascii="仿宋_GB2312" w:eastAsia="仿宋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bCs/>
                                <w:sz w:val="28"/>
                                <w:szCs w:val="28"/>
                              </w:rPr>
                              <w:t>（一）村民自治的概念[二级标题]</w:t>
                            </w:r>
                          </w:p>
                          <w:p>
                            <w:pPr>
                              <w:ind w:left="420"/>
                              <w:rPr>
                                <w:rFonts w:ascii="仿宋_GB2312" w:eastAsia="仿宋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bCs/>
                                <w:sz w:val="28"/>
                                <w:szCs w:val="28"/>
                              </w:rPr>
                              <w:t>1.村民自治[三级标题]</w:t>
                            </w:r>
                          </w:p>
                          <w:p>
                            <w:pPr>
                              <w:ind w:left="420"/>
                              <w:rPr>
                                <w:rFonts w:ascii="仿宋_GB2312" w:eastAsia="仿宋_GB2312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b/>
                                <w:bCs/>
                                <w:sz w:val="28"/>
                                <w:szCs w:val="28"/>
                              </w:rPr>
                              <w:t>（1）村民自治[四级标题]</w:t>
                            </w:r>
                          </w:p>
                          <w:p>
                            <w:pPr>
                              <w:ind w:left="420"/>
                              <w:rPr>
                                <w:rFonts w:ascii="楷体_GB2312" w:eastAsia="楷体_GB231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楷体_GB2312" w:eastAsia="楷体_GB2312"/>
                                <w:sz w:val="28"/>
                                <w:szCs w:val="28"/>
                              </w:rPr>
                              <w:t>村民自治的概念来源于……[正文]</w:t>
                            </w:r>
                          </w:p>
                          <w:p/>
                        </w:txbxContent>
                      </wps:txbx>
                      <wps:bodyPr wrap="square" lIns="91439" tIns="45719" rIns="91439" bIns="45719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6" o:spt="202" type="#_x0000_t202" style="position:absolute;left:0pt;margin-left:4pt;margin-top:33.35pt;height:165pt;width:452.35pt;mso-wrap-distance-bottom:0pt;mso-wrap-distance-left:9pt;mso-wrap-distance-right:9pt;mso-wrap-distance-top:0pt;z-index:251660288;mso-width-relative:page;mso-height-relative:page;" fillcolor="#FFFFFF" filled="t" stroked="t" coordsize="21600,21600" o:gfxdata="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BJ/fwQ1wAAAAgBAAAPAAAAAAAAAAEAIAAAACIAAABkcnMvZG93bnJldi54bWxQSwECFAAU&#10;AAAACACHTuJAGDO44isCAACSBAAADgAAAAAAAAABACAAAAAmAQAAZHJzL2Uyb0RvYy54bWxQSwUG&#10;AAAAAAYABgBZAQAAwwUAAAAA&#10;">
                <v:fill on="t" focussize="0,0"/>
                <v:stroke color="#000000" joinstyle="miter"/>
                <v:imagedata o:title=""/>
                <o:lock v:ext="edit" aspectratio="f"/>
                <v:textbox inset="7.19992125984252pt,3.59992125984252pt,7.19992125984252pt,3.59992125984252pt">
                  <w:txbxContent>
                    <w:p>
                      <w:pPr>
                        <w:ind w:left="420" w:leftChars="200"/>
                        <w:rPr>
                          <w:rFonts w:ascii="仿宋_GB2312" w:eastAsia="仿宋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bCs/>
                          <w:sz w:val="28"/>
                          <w:szCs w:val="28"/>
                        </w:rPr>
                        <w:t>一、村民自治的历史[一级标题]</w:t>
                      </w:r>
                    </w:p>
                    <w:p>
                      <w:pPr>
                        <w:ind w:left="420"/>
                        <w:rPr>
                          <w:rFonts w:ascii="仿宋_GB2312" w:eastAsia="仿宋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bCs/>
                          <w:sz w:val="28"/>
                          <w:szCs w:val="28"/>
                        </w:rPr>
                        <w:t>（一）村民自治的概念[二级标题]</w:t>
                      </w:r>
                    </w:p>
                    <w:p>
                      <w:pPr>
                        <w:ind w:left="420"/>
                        <w:rPr>
                          <w:rFonts w:ascii="仿宋_GB2312" w:eastAsia="仿宋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bCs/>
                          <w:sz w:val="28"/>
                          <w:szCs w:val="28"/>
                        </w:rPr>
                        <w:t>1.村民自治[三级标题]</w:t>
                      </w:r>
                    </w:p>
                    <w:p>
                      <w:pPr>
                        <w:ind w:left="420"/>
                        <w:rPr>
                          <w:rFonts w:ascii="仿宋_GB2312" w:eastAsia="仿宋_GB2312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仿宋_GB2312" w:eastAsia="仿宋_GB2312"/>
                          <w:b/>
                          <w:bCs/>
                          <w:sz w:val="28"/>
                          <w:szCs w:val="28"/>
                        </w:rPr>
                        <w:t>（1）村民自治[四级标题]</w:t>
                      </w:r>
                    </w:p>
                    <w:p>
                      <w:pPr>
                        <w:ind w:left="420"/>
                        <w:rPr>
                          <w:rFonts w:ascii="楷体_GB2312" w:eastAsia="楷体_GB2312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楷体_GB2312" w:eastAsia="楷体_GB2312"/>
                          <w:sz w:val="28"/>
                          <w:szCs w:val="28"/>
                        </w:rPr>
                        <w:t>村民自治的概念来源于……[正文]</w:t>
                      </w:r>
                    </w:p>
                    <w:p/>
                  </w:txbxContent>
                </v:textbox>
                <w10:wrap type="square"/>
              </v:shape>
            </w:pict>
          </mc:Fallback>
        </mc:AlternateContent>
      </w:r>
      <w:r>
        <w:rPr>
          <w:rFonts w:hint="eastAsia" w:ascii="Times New Roman" w:hAnsi="Times New Roman" w:eastAsia="仿宋_GB2312"/>
          <w:sz w:val="28"/>
          <w:szCs w:val="28"/>
        </w:rPr>
        <w:t xml:space="preserve">【例】      </w:t>
      </w:r>
    </w:p>
    <w:p>
      <w:pPr>
        <w:spacing w:line="56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三、版面格式</w:t>
      </w:r>
    </w:p>
    <w:p>
      <w:pPr>
        <w:spacing w:line="560" w:lineRule="exact"/>
        <w:ind w:firstLine="627" w:firstLineChars="196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(一)加页眉</w:t>
      </w:r>
    </w:p>
    <w:p>
      <w:pPr>
        <w:spacing w:line="560" w:lineRule="exact"/>
        <w:ind w:firstLine="627" w:firstLineChars="196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bidi="zh-CN"/>
        </w:rPr>
        <w:t>.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</w:rPr>
        <w:t>内容：202</w:t>
      </w:r>
      <w:r>
        <w:rPr>
          <w:rFonts w:ascii="Times New Roman" w:hAnsi="Times New Roman" w:eastAsia="仿宋"/>
          <w:sz w:val="32"/>
          <w:szCs w:val="32"/>
        </w:rPr>
        <w:t>3</w:t>
      </w:r>
      <w:r>
        <w:rPr>
          <w:rFonts w:hint="eastAsia" w:ascii="Times New Roman" w:hAnsi="Times New Roman" w:eastAsia="仿宋"/>
          <w:sz w:val="32"/>
          <w:szCs w:val="32"/>
        </w:rPr>
        <w:t>年“杭州银行杯”浙江省大学生金融创新大赛作品；</w:t>
      </w:r>
    </w:p>
    <w:p>
      <w:pPr>
        <w:spacing w:line="560" w:lineRule="exact"/>
        <w:ind w:firstLine="627" w:firstLineChars="196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bidi="zh-CN"/>
        </w:rPr>
        <w:t>.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</w:rPr>
        <w:t>字体：仿宋，五号；居中</w:t>
      </w:r>
    </w:p>
    <w:p>
      <w:pPr>
        <w:spacing w:line="560" w:lineRule="exact"/>
        <w:ind w:firstLine="627" w:firstLineChars="196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(</w:t>
      </w:r>
      <w:r>
        <w:rPr>
          <w:rFonts w:hint="eastAsia" w:ascii="Times New Roman" w:hAnsi="Times New Roman" w:eastAsia="楷体" w:cs="宋体"/>
          <w:sz w:val="32"/>
          <w:szCs w:val="32"/>
        </w:rPr>
        <w:t>二</w:t>
      </w:r>
      <w:r>
        <w:rPr>
          <w:rFonts w:hint="eastAsia" w:ascii="Times New Roman" w:hAnsi="Times New Roman" w:eastAsia="楷体"/>
          <w:sz w:val="32"/>
          <w:szCs w:val="32"/>
        </w:rPr>
        <w:t>)页面设置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bidi="zh-CN"/>
        </w:rPr>
        <w:t>.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</w:rPr>
        <w:t>页边距：上下左右均为2.5厘米  装订线：0厘米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bidi="zh-CN"/>
        </w:rPr>
        <w:t>.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</w:rPr>
        <w:t>页眉：1.5厘米；页脚：1.5厘米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3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bidi="zh-CN"/>
        </w:rPr>
        <w:t>.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</w:rPr>
        <w:t>纸型：A4，纵向</w:t>
      </w:r>
    </w:p>
    <w:p>
      <w:pPr>
        <w:spacing w:line="560" w:lineRule="exact"/>
        <w:ind w:firstLine="627" w:firstLineChars="196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(三)插入页码</w:t>
      </w:r>
    </w:p>
    <w:p>
      <w:pPr>
        <w:spacing w:line="560" w:lineRule="exact"/>
        <w:ind w:firstLine="627" w:firstLineChars="196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bidi="zh-CN"/>
        </w:rPr>
        <w:t>.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</w:rPr>
        <w:t>位置：页面底端</w:t>
      </w:r>
    </w:p>
    <w:p>
      <w:pPr>
        <w:spacing w:line="560" w:lineRule="exact"/>
        <w:ind w:firstLine="627" w:firstLineChars="196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bidi="zh-CN"/>
        </w:rPr>
        <w:t>.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</w:rPr>
        <w:t>对齐方式：外侧</w:t>
      </w:r>
    </w:p>
    <w:p>
      <w:pPr>
        <w:spacing w:line="560" w:lineRule="exact"/>
        <w:ind w:firstLine="627" w:firstLineChars="196"/>
        <w:rPr>
          <w:rFonts w:ascii="Times New Roman" w:hAnsi="Times New Roman" w:eastAsia="仿宋_GB2312"/>
          <w:b/>
          <w:bCs/>
          <w:sz w:val="28"/>
          <w:szCs w:val="28"/>
        </w:rPr>
      </w:pPr>
      <w:r>
        <w:rPr>
          <w:rFonts w:hint="eastAsia" w:ascii="Times New Roman" w:hAnsi="Times New Roman" w:eastAsia="楷体"/>
          <w:sz w:val="32"/>
          <w:szCs w:val="32"/>
        </w:rPr>
        <w:t>(四)注释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：</w:t>
      </w:r>
    </w:p>
    <w:p>
      <w:pPr>
        <w:spacing w:line="560" w:lineRule="exact"/>
        <w:ind w:firstLine="627" w:firstLineChars="196"/>
        <w:rPr>
          <w:rFonts w:ascii="Times New Roman" w:hAnsi="Times New Roman" w:eastAsia="仿宋"/>
          <w:sz w:val="32"/>
          <w:szCs w:val="32"/>
        </w:rPr>
      </w:pPr>
      <w:r>
        <w:rPr>
          <w:rFonts w:ascii="Times New Roman" w:hAnsi="Times New Roman" w:eastAsia="仿宋"/>
          <w:sz w:val="32"/>
          <w:szCs w:val="32"/>
        </w:rPr>
        <w:t>1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bidi="zh-CN"/>
        </w:rPr>
        <w:t>.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</w:rPr>
        <w:t>采用尾注，自定义标记为[1]，[2]，[3]……</w:t>
      </w:r>
    </w:p>
    <w:p>
      <w:pPr>
        <w:spacing w:line="560" w:lineRule="exact"/>
        <w:ind w:firstLine="627" w:firstLineChars="196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2</w:t>
      </w:r>
      <w:r>
        <w:rPr>
          <w:rFonts w:hint="eastAsia" w:ascii="Times New Roman" w:hAnsi="Times New Roman" w:eastAsia="仿宋" w:cs="Times New Roman"/>
          <w:kern w:val="0"/>
          <w:sz w:val="32"/>
          <w:szCs w:val="32"/>
          <w:lang w:bidi="zh-CN"/>
        </w:rPr>
        <w:t>.</w:t>
      </w:r>
      <w:r>
        <w:rPr>
          <w:rFonts w:ascii="Times New Roman" w:hAnsi="Times New Roman" w:eastAsia="仿宋" w:cs="Times New Roman"/>
          <w:kern w:val="0"/>
          <w:sz w:val="32"/>
          <w:szCs w:val="32"/>
          <w:lang w:bidi="zh-CN"/>
        </w:rPr>
        <w:t xml:space="preserve"> </w:t>
      </w:r>
      <w:r>
        <w:rPr>
          <w:rFonts w:hint="eastAsia" w:ascii="Times New Roman" w:hAnsi="Times New Roman" w:eastAsia="仿宋"/>
          <w:sz w:val="32"/>
          <w:szCs w:val="32"/>
        </w:rPr>
        <w:t>注：专著为[M]，报纸为[N]，期刊文章为[J]，论文集为[C]，学位论文为[D]，报告为[R]，标准为[S]，专利为[P]</w:t>
      </w:r>
    </w:p>
    <w:p>
      <w:pPr>
        <w:spacing w:line="560" w:lineRule="exact"/>
        <w:ind w:firstLine="627" w:firstLineChars="196"/>
        <w:rPr>
          <w:rFonts w:ascii="Times New Roman" w:hAnsi="Times New Roman" w:eastAsia="楷体"/>
          <w:sz w:val="32"/>
          <w:szCs w:val="32"/>
        </w:rPr>
      </w:pPr>
      <w:r>
        <w:rPr>
          <w:rFonts w:hint="eastAsia" w:ascii="Times New Roman" w:hAnsi="Times New Roman" w:eastAsia="楷体"/>
          <w:sz w:val="32"/>
          <w:szCs w:val="32"/>
        </w:rPr>
        <w:t>(五)参考文献</w:t>
      </w:r>
    </w:p>
    <w:p>
      <w:pPr>
        <w:spacing w:line="560" w:lineRule="exact"/>
        <w:ind w:firstLine="560" w:firstLineChars="200"/>
        <w:rPr>
          <w:rFonts w:ascii="Times New Roman" w:hAnsi="Times New Roman" w:eastAsia="仿宋_GB2312"/>
          <w:sz w:val="28"/>
          <w:szCs w:val="28"/>
        </w:rPr>
      </w:pPr>
      <w:r>
        <w:rPr>
          <w:rFonts w:hint="eastAsia" w:ascii="Times New Roman" w:hAnsi="Times New Roman" w:eastAsia="仿宋_GB2312"/>
          <w:sz w:val="28"/>
          <w:szCs w:val="28"/>
        </w:rPr>
        <w:t>【例】</w:t>
      </w:r>
    </w:p>
    <w:p>
      <w:pPr>
        <w:spacing w:line="560" w:lineRule="exact"/>
        <w:ind w:left="210" w:leftChars="100" w:firstLine="420" w:firstLineChars="200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[1]</w:t>
      </w:r>
      <w:r>
        <w:rPr>
          <w:rFonts w:hint="eastAsia" w:ascii="Times New Roman" w:hAnsi="Times New Roman" w:eastAsia="仿宋" w:cs="Times New Roman"/>
        </w:rPr>
        <w:t xml:space="preserve"> </w:t>
      </w:r>
      <w:r>
        <w:rPr>
          <w:rFonts w:ascii="Times New Roman" w:hAnsi="Times New Roman" w:eastAsia="仿宋" w:cs="Times New Roman"/>
        </w:rPr>
        <w:t>常璟, 许旭. 金融生态环境、股权属性与债务融资结构研究[J].山东大学学报, 2011(3): 100-106.</w:t>
      </w:r>
    </w:p>
    <w:p>
      <w:pPr>
        <w:spacing w:line="560" w:lineRule="exact"/>
        <w:ind w:left="210" w:leftChars="100" w:firstLine="420" w:firstLineChars="200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[2] 毛蕴诗. 跨国公司战略竞争与国际直接投资[M].广州：中山大学出版社, 2001.</w:t>
      </w:r>
    </w:p>
    <w:p>
      <w:pPr>
        <w:spacing w:line="560" w:lineRule="exact"/>
        <w:ind w:left="210" w:leftChars="100" w:firstLine="420" w:firstLineChars="200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[3] 王玥. 区域金融生态评估方法研究[D]. 湖南大学, 2010.</w:t>
      </w:r>
    </w:p>
    <w:p>
      <w:pPr>
        <w:spacing w:line="560" w:lineRule="exact"/>
        <w:ind w:left="210" w:leftChars="100" w:firstLine="420" w:firstLineChars="200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[4] 周小川. 完善法律环境, 打造金融生态[N]. 金融时报, 2004-12-7.</w:t>
      </w:r>
    </w:p>
    <w:p>
      <w:pPr>
        <w:spacing w:line="560" w:lineRule="exact"/>
        <w:ind w:left="210" w:leftChars="100" w:firstLine="420" w:firstLineChars="200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[5] 任泽平. 中国经济新周期是推动人民币升值的内因[EB/OL].(2015-03-02) [2016-01-09]. http://money.163.com/17/0913/06/CU6MVLUD002580S6.html.</w:t>
      </w:r>
    </w:p>
    <w:p>
      <w:pPr>
        <w:spacing w:line="560" w:lineRule="exact"/>
        <w:ind w:left="210" w:leftChars="100" w:firstLine="420" w:firstLineChars="200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[6] Alizadeh, S.,Brandt, M.W. and Diebold,F.X. Range Based Estimation of Stochastic Volatility Models[J]. Journal of Finance, 2002, 57(1): 1047–1092.</w:t>
      </w:r>
    </w:p>
    <w:p>
      <w:pPr>
        <w:spacing w:line="560" w:lineRule="exact"/>
        <w:ind w:left="210" w:leftChars="100" w:firstLine="420" w:firstLineChars="200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[7] Cashin, P., K.,Mohaddes, H.W. and Dong, J. China’s Slowdown and Global Financial Market Volatility: Is World Growth Losing Out? [R]. IMF Working Paper 16/63, International Monetary Fund, 2016.</w:t>
      </w:r>
    </w:p>
    <w:p>
      <w:pPr>
        <w:spacing w:line="560" w:lineRule="exact"/>
        <w:ind w:left="210" w:leftChars="100" w:firstLine="420" w:firstLineChars="200"/>
        <w:rPr>
          <w:rFonts w:ascii="Times New Roman" w:hAnsi="Times New Roman" w:eastAsia="仿宋" w:cs="Times New Roman"/>
        </w:rPr>
      </w:pPr>
      <w:r>
        <w:rPr>
          <w:rFonts w:ascii="Times New Roman" w:hAnsi="Times New Roman" w:eastAsia="仿宋" w:cs="Times New Roman"/>
        </w:rPr>
        <w:t>[8] Feenstrar,R.C.and Obstrfeld, M.In Search of the Armington Elasticity[EB/OL].(2014-04-02) [2016-12-21] . http://www.nber.org/papers/w20063.</w:t>
      </w:r>
    </w:p>
    <w:p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格式同上，先中文后英文；中文按姓名的拼音排序，英文按姓名的字母排序。</w:t>
      </w:r>
    </w:p>
    <w:p>
      <w:pPr>
        <w:spacing w:line="560" w:lineRule="exact"/>
        <w:ind w:firstLine="627" w:firstLineChars="196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四、其他问题</w:t>
      </w:r>
    </w:p>
    <w:p>
      <w:pPr>
        <w:pStyle w:val="2"/>
        <w:spacing w:after="0" w:line="560" w:lineRule="exact"/>
        <w:ind w:firstLine="640" w:firstLineChars="200"/>
      </w:pPr>
      <w:r>
        <w:rPr>
          <w:rFonts w:hint="eastAsia" w:ascii="Times New Roman" w:hAnsi="Times New Roman" w:eastAsia="仿宋"/>
          <w:sz w:val="32"/>
          <w:szCs w:val="32"/>
        </w:rPr>
        <w:t>其他未列出的问题请参见新闻出版署发布的“《中国学术期刊（光盘版）检索与评价数据规范》”。</w:t>
      </w:r>
    </w:p>
    <w:sectPr>
      <w:pgSz w:w="11906" w:h="16838"/>
      <w:pgMar w:top="2098" w:right="1474" w:bottom="1985" w:left="158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方正舒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JmMDEyYTllOGYzM2M5MmQyMmVmODMxNmQ4ZjMzOTAifQ=="/>
  </w:docVars>
  <w:rsids>
    <w:rsidRoot w:val="59450C06"/>
    <w:rsid w:val="01002C8D"/>
    <w:rsid w:val="4B7D360C"/>
    <w:rsid w:val="59450C06"/>
    <w:rsid w:val="613C17C3"/>
    <w:rsid w:val="67BB354E"/>
    <w:rsid w:val="6C3225F4"/>
    <w:rsid w:val="7E131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qFormat/>
    <w:uiPriority w:val="0"/>
    <w:pPr>
      <w:widowControl w:val="0"/>
      <w:spacing w:after="120"/>
      <w:jc w:val="both"/>
    </w:pPr>
    <w:rPr>
      <w:rFonts w:asciiTheme="minorHAnsi" w:hAnsiTheme="minorHAnsi" w:eastAsiaTheme="minorEastAsia" w:cstheme="minorBidi"/>
      <w:kern w:val="2"/>
      <w:sz w:val="16"/>
      <w:szCs w:val="16"/>
      <w:lang w:val="en-US" w:eastAsia="zh-CN" w:bidi="ar-SA"/>
    </w:rPr>
  </w:style>
  <w:style w:type="paragraph" w:styleId="3">
    <w:name w:val="toc 1"/>
    <w:basedOn w:val="1"/>
    <w:next w:val="1"/>
    <w:qFormat/>
    <w:uiPriority w:val="0"/>
    <w:pPr>
      <w:widowControl w:val="0"/>
      <w:tabs>
        <w:tab w:val="right" w:leader="dot" w:pos="7513"/>
      </w:tabs>
      <w:kinsoku/>
      <w:autoSpaceDE/>
      <w:autoSpaceDN/>
      <w:adjustRightInd/>
      <w:snapToGrid/>
      <w:spacing w:line="220" w:lineRule="atLeast"/>
      <w:textAlignment w:val="auto"/>
    </w:pPr>
    <w:rPr>
      <w:rFonts w:ascii="Times New Roman" w:hAnsi="Times New Roman" w:eastAsia="宋体" w:cs="Times New Roman"/>
      <w:snapToGrid/>
      <w:color w:val="auto"/>
      <w:sz w:val="24"/>
      <w:szCs w:val="44"/>
    </w:rPr>
  </w:style>
  <w:style w:type="paragraph" w:styleId="4">
    <w:name w:val="Normal (Web)"/>
    <w:unhideWhenUsed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610</Words>
  <Characters>1160</Characters>
  <Lines>0</Lines>
  <Paragraphs>0</Paragraphs>
  <TotalTime>4</TotalTime>
  <ScaleCrop>false</ScaleCrop>
  <LinksUpToDate>false</LinksUpToDate>
  <CharactersWithSpaces>1255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2023-06-19T05:11:00Z</dcterms:created>
  <dc:creator>东东</dc:creator>
  <cp:lastModifiedBy>誓死与TG决战到底</cp:lastModifiedBy>
  <dcterms:modified xsi:type="dcterms:W3CDTF">2023-09-20T05:28:28Z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D55510D04D354D29BFF22F978A4FD8E4_13</vt:lpwstr>
  </property>
</Properties>
</file>