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198C75">
      <w:pPr>
        <w:keepNext w:val="0"/>
        <w:keepLines w:val="0"/>
        <w:pageBreakBefore w:val="0"/>
        <w:widowControl/>
        <w:kinsoku w:val="0"/>
        <w:wordWrap/>
        <w:overflowPunct/>
        <w:topLinePunct w:val="0"/>
        <w:autoSpaceDE w:val="0"/>
        <w:autoSpaceDN w:val="0"/>
        <w:bidi w:val="0"/>
        <w:adjustRightInd w:val="0"/>
        <w:snapToGrid w:val="0"/>
        <w:spacing w:line="560" w:lineRule="exact"/>
        <w:jc w:val="center"/>
        <w:textAlignment w:val="baseline"/>
        <w:outlineLvl w:val="0"/>
        <w:rPr>
          <w:rFonts w:hint="eastAsia" w:ascii="方正小标宋简体" w:hAnsi="方正小标宋简体" w:eastAsia="方正小标宋简体" w:cs="方正小标宋简体"/>
          <w:b w:val="0"/>
          <w:bCs w:val="0"/>
          <w:color w:val="auto"/>
          <w:spacing w:val="8"/>
          <w:sz w:val="44"/>
          <w:szCs w:val="44"/>
          <w:highlight w:val="none"/>
          <w:lang w:val="en-US" w:eastAsia="zh-CN"/>
        </w:rPr>
      </w:pPr>
      <w:r>
        <w:rPr>
          <w:rFonts w:hint="eastAsia" w:ascii="方正小标宋简体" w:hAnsi="方正小标宋简体" w:eastAsia="方正小标宋简体" w:cs="方正小标宋简体"/>
          <w:b w:val="0"/>
          <w:bCs w:val="0"/>
          <w:color w:val="auto"/>
          <w:spacing w:val="8"/>
          <w:sz w:val="44"/>
          <w:szCs w:val="44"/>
          <w:highlight w:val="none"/>
          <w:lang w:val="en-US" w:eastAsia="zh-CN"/>
        </w:rPr>
        <w:t>2024年度湖州学院</w:t>
      </w:r>
      <w:r>
        <w:rPr>
          <w:rFonts w:hint="eastAsia" w:ascii="方正小标宋简体" w:hAnsi="方正小标宋简体" w:eastAsia="方正小标宋简体" w:cs="方正小标宋简体"/>
          <w:b w:val="0"/>
          <w:bCs w:val="0"/>
          <w:color w:val="auto"/>
          <w:spacing w:val="8"/>
          <w:sz w:val="44"/>
          <w:szCs w:val="44"/>
          <w:highlight w:val="none"/>
        </w:rPr>
        <w:t>一流本科课程申报</w:t>
      </w:r>
      <w:r>
        <w:rPr>
          <w:rFonts w:hint="eastAsia" w:ascii="方正小标宋简体" w:hAnsi="方正小标宋简体" w:eastAsia="方正小标宋简体" w:cs="方正小标宋简体"/>
          <w:b w:val="0"/>
          <w:bCs w:val="0"/>
          <w:color w:val="auto"/>
          <w:spacing w:val="8"/>
          <w:sz w:val="44"/>
          <w:szCs w:val="44"/>
          <w:highlight w:val="none"/>
          <w:lang w:val="en-US" w:eastAsia="zh-CN"/>
        </w:rPr>
        <w:t>条件</w:t>
      </w:r>
    </w:p>
    <w:p w14:paraId="129F5C2B">
      <w:pPr>
        <w:keepNext w:val="0"/>
        <w:keepLines w:val="0"/>
        <w:pageBreakBefore w:val="0"/>
        <w:widowControl/>
        <w:kinsoku w:val="0"/>
        <w:wordWrap/>
        <w:overflowPunct/>
        <w:topLinePunct w:val="0"/>
        <w:autoSpaceDE w:val="0"/>
        <w:autoSpaceDN w:val="0"/>
        <w:bidi w:val="0"/>
        <w:adjustRightInd w:val="0"/>
        <w:snapToGrid w:val="0"/>
        <w:spacing w:line="560" w:lineRule="exact"/>
        <w:jc w:val="center"/>
        <w:textAlignment w:val="baseline"/>
        <w:outlineLvl w:val="0"/>
        <w:rPr>
          <w:rFonts w:hint="eastAsia" w:ascii="方正小标宋简体" w:hAnsi="方正小标宋简体" w:eastAsia="方正小标宋简体" w:cs="方正小标宋简体"/>
          <w:b w:val="0"/>
          <w:bCs w:val="0"/>
          <w:color w:val="auto"/>
          <w:spacing w:val="8"/>
          <w:sz w:val="44"/>
          <w:szCs w:val="44"/>
          <w:highlight w:val="none"/>
          <w:lang w:val="en-US" w:eastAsia="zh-CN"/>
        </w:rPr>
      </w:pPr>
    </w:p>
    <w:p w14:paraId="6D29E6E2">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675"/>
        <w:textAlignment w:val="baseline"/>
        <w:rPr>
          <w:rFonts w:hint="eastAsia" w:ascii="黑体" w:hAnsi="黑体" w:eastAsia="黑体" w:cs="黑体"/>
          <w:b/>
          <w:bCs/>
          <w:color w:val="auto"/>
          <w:spacing w:val="1"/>
          <w:sz w:val="32"/>
          <w:szCs w:val="32"/>
          <w:highlight w:val="none"/>
          <w:lang w:val="en-US" w:eastAsia="zh-CN"/>
        </w:rPr>
      </w:pPr>
      <w:r>
        <w:rPr>
          <w:rFonts w:hint="eastAsia" w:ascii="黑体" w:hAnsi="黑体" w:eastAsia="黑体" w:cs="黑体"/>
          <w:b/>
          <w:bCs/>
          <w:color w:val="auto"/>
          <w:spacing w:val="1"/>
          <w:sz w:val="32"/>
          <w:szCs w:val="32"/>
          <w:highlight w:val="none"/>
          <w:lang w:val="en-US" w:eastAsia="zh-CN"/>
        </w:rPr>
        <w:t>一、智慧课程</w:t>
      </w:r>
    </w:p>
    <w:p w14:paraId="3FF43DC7">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40" w:right="11" w:firstLine="624"/>
        <w:textAlignment w:val="baseline"/>
        <w:rPr>
          <w:rFonts w:hint="eastAsia" w:ascii="仿宋_GB2312" w:hAnsi="仿宋_GB2312" w:eastAsia="仿宋_GB2312" w:cs="仿宋_GB2312"/>
          <w:b w:val="0"/>
          <w:bCs w:val="0"/>
          <w:color w:val="auto"/>
          <w:spacing w:val="8"/>
          <w:sz w:val="32"/>
          <w:szCs w:val="32"/>
          <w:highlight w:val="none"/>
          <w:lang w:val="en-US" w:eastAsia="zh-CN"/>
        </w:rPr>
      </w:pPr>
      <w:r>
        <w:rPr>
          <w:rFonts w:hint="eastAsia" w:ascii="仿宋_GB2312" w:hAnsi="仿宋_GB2312" w:eastAsia="仿宋_GB2312" w:cs="仿宋_GB2312"/>
          <w:b w:val="0"/>
          <w:bCs w:val="0"/>
          <w:color w:val="auto"/>
          <w:spacing w:val="8"/>
          <w:sz w:val="32"/>
          <w:szCs w:val="32"/>
          <w:highlight w:val="none"/>
          <w:lang w:val="en-US" w:eastAsia="zh-CN"/>
        </w:rPr>
        <w:t>1.智慧课程主要是指利用互联网、知识图谱、人工智能等新技术新手段，赋能课程建设与运行，细化知识颗粒度，具象知识网络，扩展资源手段，提高课程学习自适应性，融合形成的多路径、个性化、智能化新型课程模式。</w:t>
      </w:r>
    </w:p>
    <w:p w14:paraId="11B3CDF8">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40" w:right="11" w:firstLine="624"/>
        <w:textAlignment w:val="baseline"/>
        <w:rPr>
          <w:rFonts w:hint="default" w:ascii="仿宋_GB2312" w:hAnsi="仿宋_GB2312" w:eastAsia="仿宋_GB2312" w:cs="仿宋_GB2312"/>
          <w:b w:val="0"/>
          <w:bCs w:val="0"/>
          <w:color w:val="auto"/>
          <w:spacing w:val="8"/>
          <w:sz w:val="32"/>
          <w:szCs w:val="32"/>
          <w:highlight w:val="none"/>
          <w:lang w:val="en-US" w:eastAsia="zh-CN"/>
        </w:rPr>
      </w:pPr>
      <w:r>
        <w:rPr>
          <w:rFonts w:hint="eastAsia" w:ascii="仿宋_GB2312" w:hAnsi="仿宋_GB2312" w:eastAsia="仿宋_GB2312" w:cs="仿宋_GB2312"/>
          <w:b w:val="0"/>
          <w:bCs w:val="0"/>
          <w:color w:val="auto"/>
          <w:spacing w:val="8"/>
          <w:sz w:val="32"/>
          <w:szCs w:val="32"/>
          <w:highlight w:val="none"/>
          <w:lang w:val="en-US" w:eastAsia="zh-CN"/>
        </w:rPr>
        <w:t>2.拟申报的课程前期应具有校级、省级及以上线上一流本科课程建设基础，课程在线教学视频已经形成完整体系，且原则上应有课程知识图谱建设基础。同等条件下，纳入本科专业人才培养方案的专业核心课程优先支持。</w:t>
      </w:r>
    </w:p>
    <w:p w14:paraId="1512D074">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40" w:right="11" w:firstLine="624"/>
        <w:textAlignment w:val="baseline"/>
        <w:rPr>
          <w:rFonts w:hint="eastAsia" w:ascii="黑体" w:hAnsi="黑体" w:eastAsia="黑体" w:cs="黑体"/>
          <w:b/>
          <w:bCs/>
          <w:color w:val="auto"/>
          <w:spacing w:val="1"/>
          <w:sz w:val="32"/>
          <w:szCs w:val="32"/>
          <w:highlight w:val="none"/>
          <w:lang w:val="en-US" w:eastAsia="zh-CN"/>
        </w:rPr>
      </w:pPr>
      <w:r>
        <w:rPr>
          <w:rFonts w:hint="eastAsia" w:ascii="黑体" w:hAnsi="黑体" w:eastAsia="黑体" w:cs="黑体"/>
          <w:b/>
          <w:bCs/>
          <w:color w:val="auto"/>
          <w:spacing w:val="1"/>
          <w:sz w:val="32"/>
          <w:szCs w:val="32"/>
          <w:highlight w:val="none"/>
          <w:lang w:val="en-US" w:eastAsia="zh-CN"/>
        </w:rPr>
        <w:t>二、线上线下混合式课程</w:t>
      </w:r>
    </w:p>
    <w:p w14:paraId="122A2EAF">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40" w:right="11" w:firstLine="624"/>
        <w:textAlignment w:val="baseline"/>
        <w:rPr>
          <w:rFonts w:hint="eastAsia" w:ascii="仿宋_GB2312" w:hAnsi="仿宋_GB2312" w:eastAsia="仿宋_GB2312" w:cs="仿宋_GB2312"/>
          <w:b w:val="0"/>
          <w:bCs w:val="0"/>
          <w:color w:val="auto"/>
          <w:spacing w:val="8"/>
          <w:sz w:val="32"/>
          <w:szCs w:val="32"/>
          <w:highlight w:val="none"/>
          <w:lang w:val="en-US" w:eastAsia="zh-CN"/>
        </w:rPr>
      </w:pPr>
      <w:r>
        <w:rPr>
          <w:rFonts w:hint="eastAsia" w:ascii="仿宋_GB2312" w:hAnsi="仿宋_GB2312" w:eastAsia="仿宋_GB2312" w:cs="仿宋_GB2312"/>
          <w:b w:val="0"/>
          <w:bCs w:val="0"/>
          <w:color w:val="auto"/>
          <w:spacing w:val="8"/>
          <w:sz w:val="32"/>
          <w:szCs w:val="32"/>
          <w:highlight w:val="none"/>
          <w:lang w:val="en-US" w:eastAsia="zh-CN"/>
        </w:rPr>
        <w:t>线上线下混合式课程应基于慕课、专属在线课程（SPOC）等线上优质资源，合理分配线上线下学时，并结合实际开展线上线下教学活动，应具有可追溯的学生在线学习记录。</w:t>
      </w:r>
    </w:p>
    <w:p w14:paraId="4913DCAD">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675"/>
        <w:textAlignment w:val="baseline"/>
        <w:rPr>
          <w:rFonts w:hint="eastAsia" w:ascii="黑体" w:hAnsi="黑体" w:eastAsia="黑体" w:cs="黑体"/>
          <w:b/>
          <w:bCs/>
          <w:color w:val="auto"/>
          <w:spacing w:val="1"/>
          <w:sz w:val="32"/>
          <w:szCs w:val="32"/>
          <w:highlight w:val="none"/>
          <w:lang w:val="en-US" w:eastAsia="zh-CN"/>
        </w:rPr>
      </w:pPr>
      <w:r>
        <w:rPr>
          <w:rFonts w:hint="eastAsia" w:ascii="黑体" w:hAnsi="黑体" w:eastAsia="黑体" w:cs="黑体"/>
          <w:b/>
          <w:bCs/>
          <w:color w:val="auto"/>
          <w:spacing w:val="1"/>
          <w:sz w:val="32"/>
          <w:szCs w:val="32"/>
          <w:highlight w:val="none"/>
          <w:lang w:val="en-US" w:eastAsia="zh-CN"/>
        </w:rPr>
        <w:t>三、产教融合一流本科课程</w:t>
      </w:r>
    </w:p>
    <w:p w14:paraId="33828602">
      <w:pPr>
        <w:keepNext w:val="0"/>
        <w:keepLines w:val="0"/>
        <w:pageBreakBefore w:val="0"/>
        <w:widowControl/>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b w:val="0"/>
          <w:bCs w:val="0"/>
          <w:color w:val="auto"/>
          <w:kern w:val="0"/>
          <w:sz w:val="32"/>
          <w:szCs w:val="32"/>
          <w:highlight w:val="none"/>
          <w:lang w:val="en-US" w:eastAsia="zh-CN" w:bidi="ar"/>
        </w:rPr>
      </w:pPr>
      <w:r>
        <w:rPr>
          <w:rFonts w:hint="eastAsia" w:ascii="仿宋_GB2312" w:hAnsi="仿宋_GB2312" w:eastAsia="仿宋_GB2312" w:cs="仿宋_GB2312"/>
          <w:b w:val="0"/>
          <w:bCs w:val="0"/>
          <w:color w:val="auto"/>
          <w:kern w:val="0"/>
          <w:sz w:val="32"/>
          <w:szCs w:val="32"/>
          <w:highlight w:val="none"/>
          <w:lang w:val="en-US" w:eastAsia="zh-CN" w:bidi="ar"/>
        </w:rPr>
        <w:t>1.根据《湖州学院高水平应用型大学建设三年行动方案》《人才培养子方案》，特设“产教融合一流本科课程”</w:t>
      </w:r>
      <w:r>
        <w:rPr>
          <w:rFonts w:hint="eastAsia" w:ascii="仿宋_GB2312" w:hAnsi="仿宋_GB2312" w:eastAsia="仿宋_GB2312" w:cs="仿宋_GB2312"/>
          <w:b w:val="0"/>
          <w:bCs w:val="0"/>
          <w:snapToGrid w:val="0"/>
          <w:color w:val="auto"/>
          <w:spacing w:val="8"/>
          <w:kern w:val="0"/>
          <w:sz w:val="32"/>
          <w:szCs w:val="32"/>
          <w:highlight w:val="none"/>
          <w:lang w:val="en-US" w:eastAsia="zh-CN" w:bidi="ar-SA"/>
        </w:rPr>
        <w:t>，</w:t>
      </w:r>
      <w:r>
        <w:rPr>
          <w:rFonts w:hint="eastAsia" w:ascii="仿宋_GB2312" w:hAnsi="仿宋_GB2312" w:eastAsia="仿宋_GB2312" w:cs="仿宋_GB2312"/>
          <w:b w:val="0"/>
          <w:bCs w:val="0"/>
          <w:color w:val="auto"/>
          <w:kern w:val="0"/>
          <w:sz w:val="32"/>
          <w:szCs w:val="32"/>
          <w:highlight w:val="none"/>
          <w:lang w:val="en-US" w:eastAsia="zh-CN"/>
        </w:rPr>
        <w:t>立项</w:t>
      </w:r>
      <w:r>
        <w:rPr>
          <w:rFonts w:hint="eastAsia" w:ascii="仿宋_GB2312" w:hAnsi="仿宋_GB2312" w:eastAsia="仿宋_GB2312" w:cs="仿宋_GB2312"/>
          <w:b w:val="0"/>
          <w:bCs w:val="0"/>
          <w:color w:val="auto"/>
          <w:sz w:val="32"/>
          <w:szCs w:val="32"/>
          <w:highlight w:val="none"/>
        </w:rPr>
        <w:t>类型主要为线上线下混合式和社会实践一流</w:t>
      </w:r>
      <w:r>
        <w:rPr>
          <w:rFonts w:hint="eastAsia" w:ascii="仿宋_GB2312" w:hAnsi="仿宋_GB2312" w:eastAsia="仿宋_GB2312" w:cs="仿宋_GB2312"/>
          <w:b w:val="0"/>
          <w:bCs w:val="0"/>
          <w:color w:val="auto"/>
          <w:sz w:val="32"/>
          <w:szCs w:val="32"/>
          <w:highlight w:val="none"/>
          <w:lang w:eastAsia="zh-CN"/>
        </w:rPr>
        <w:t>本科</w:t>
      </w:r>
      <w:r>
        <w:rPr>
          <w:rFonts w:hint="eastAsia" w:ascii="仿宋_GB2312" w:hAnsi="仿宋_GB2312" w:eastAsia="仿宋_GB2312" w:cs="仿宋_GB2312"/>
          <w:b w:val="0"/>
          <w:bCs w:val="0"/>
          <w:color w:val="auto"/>
          <w:sz w:val="32"/>
          <w:szCs w:val="32"/>
          <w:highlight w:val="none"/>
        </w:rPr>
        <w:t>课程。</w:t>
      </w:r>
      <w:r>
        <w:rPr>
          <w:rFonts w:hint="eastAsia" w:ascii="仿宋_GB2312" w:hAnsi="仿宋_GB2312" w:eastAsia="仿宋_GB2312" w:cs="仿宋_GB2312"/>
          <w:b w:val="0"/>
          <w:bCs w:val="0"/>
          <w:color w:val="auto"/>
          <w:kern w:val="0"/>
          <w:sz w:val="32"/>
          <w:szCs w:val="32"/>
          <w:highlight w:val="none"/>
          <w:lang w:val="en-US" w:eastAsia="zh-CN" w:bidi="ar"/>
        </w:rPr>
        <w:t>立项课程要求体现技术进步和产业发展要求，坚持课程内容与行业标准对接，注重将国际前沿研究、工程问题、工程案例等融入课程教学，以提升学业“挑战度”为导向，将新产业、新业态、新技术、新模式融入课程建设，增强课程内容的“高阶性”“创新性”。</w:t>
      </w:r>
    </w:p>
    <w:p w14:paraId="7007EC2D">
      <w:pPr>
        <w:keepNext w:val="0"/>
        <w:keepLines w:val="0"/>
        <w:pageBreakBefore w:val="0"/>
        <w:widowControl/>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b w:val="0"/>
          <w:bCs w:val="0"/>
          <w:color w:val="auto"/>
          <w:spacing w:val="8"/>
          <w:sz w:val="32"/>
          <w:szCs w:val="32"/>
          <w:highlight w:val="none"/>
          <w:lang w:val="en-US" w:eastAsia="zh-CN"/>
        </w:rPr>
      </w:pPr>
      <w:r>
        <w:rPr>
          <w:rFonts w:hint="eastAsia" w:ascii="仿宋_GB2312" w:hAnsi="仿宋_GB2312" w:eastAsia="仿宋_GB2312" w:cs="仿宋_GB2312"/>
          <w:b w:val="0"/>
          <w:bCs w:val="0"/>
          <w:color w:val="auto"/>
          <w:kern w:val="0"/>
          <w:sz w:val="32"/>
          <w:szCs w:val="32"/>
          <w:highlight w:val="none"/>
          <w:lang w:val="en-US" w:eastAsia="zh-CN" w:bidi="ar"/>
        </w:rPr>
        <w:t>2.要求有行业企业专家共同参与课程建设，强化课堂教学应用导向，探索适合应用型人才培养需求的课堂教学方式，提高项目教学、案例教学、工作过程导向教学等教学模式的运用比例，使参与式、启发式、讨论式教学成为主流，形成以能力为导向的项目式、过程式等学业考核评价方式。</w:t>
      </w:r>
    </w:p>
    <w:p w14:paraId="42FC5BDD">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675"/>
        <w:textAlignment w:val="baseline"/>
        <w:rPr>
          <w:rFonts w:hint="eastAsia" w:ascii="黑体" w:hAnsi="黑体" w:eastAsia="黑体" w:cs="黑体"/>
          <w:b/>
          <w:bCs/>
          <w:color w:val="auto"/>
          <w:spacing w:val="1"/>
          <w:sz w:val="32"/>
          <w:szCs w:val="32"/>
          <w:highlight w:val="none"/>
          <w:lang w:val="en-US" w:eastAsia="zh-CN"/>
        </w:rPr>
      </w:pPr>
      <w:r>
        <w:rPr>
          <w:rFonts w:hint="eastAsia" w:ascii="黑体" w:hAnsi="黑体" w:eastAsia="黑体" w:cs="黑体"/>
          <w:b/>
          <w:bCs/>
          <w:color w:val="auto"/>
          <w:spacing w:val="1"/>
          <w:sz w:val="32"/>
          <w:szCs w:val="32"/>
          <w:highlight w:val="none"/>
          <w:lang w:val="en-US" w:eastAsia="zh-CN"/>
        </w:rPr>
        <w:t>四、虚拟仿真实验教学一流本科课程</w:t>
      </w:r>
    </w:p>
    <w:p w14:paraId="489135BB">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40" w:right="11" w:firstLine="624"/>
        <w:textAlignment w:val="baseline"/>
        <w:rPr>
          <w:rFonts w:hint="eastAsia" w:ascii="仿宋_GB2312" w:hAnsi="仿宋_GB2312" w:eastAsia="仿宋_GB2312" w:cs="仿宋_GB2312"/>
          <w:b w:val="0"/>
          <w:bCs w:val="0"/>
          <w:color w:val="auto"/>
          <w:spacing w:val="8"/>
          <w:sz w:val="32"/>
          <w:szCs w:val="32"/>
          <w:highlight w:val="none"/>
          <w:lang w:val="en-US" w:eastAsia="zh-CN"/>
        </w:rPr>
      </w:pPr>
      <w:r>
        <w:rPr>
          <w:rFonts w:hint="eastAsia" w:ascii="仿宋_GB2312" w:hAnsi="仿宋_GB2312" w:eastAsia="仿宋_GB2312" w:cs="仿宋_GB2312"/>
          <w:b w:val="0"/>
          <w:bCs w:val="0"/>
          <w:color w:val="auto"/>
          <w:spacing w:val="8"/>
          <w:sz w:val="32"/>
          <w:szCs w:val="32"/>
          <w:highlight w:val="none"/>
          <w:lang w:val="en-US" w:eastAsia="zh-CN"/>
        </w:rPr>
        <w:t>1.应着力解决真实实验条件不具备或实际运行困难，涉及高危或极端环境，高成本、高消耗、不可逆操作、大型综合训练等问题。经过2个教学周期实践检验，且具有可追溯的学生在线学习记录。</w:t>
      </w:r>
    </w:p>
    <w:p w14:paraId="2E52AB21">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40" w:right="11" w:firstLine="624"/>
        <w:textAlignment w:val="baseline"/>
        <w:rPr>
          <w:rFonts w:hint="eastAsia" w:ascii="仿宋_GB2312" w:hAnsi="仿宋_GB2312" w:eastAsia="仿宋_GB2312" w:cs="仿宋_GB2312"/>
          <w:b w:val="0"/>
          <w:bCs w:val="0"/>
          <w:color w:val="auto"/>
          <w:spacing w:val="8"/>
          <w:sz w:val="32"/>
          <w:szCs w:val="32"/>
          <w:highlight w:val="none"/>
          <w:lang w:val="en-US" w:eastAsia="zh-CN"/>
        </w:rPr>
      </w:pPr>
      <w:r>
        <w:rPr>
          <w:rFonts w:hint="eastAsia" w:ascii="仿宋_GB2312" w:hAnsi="仿宋_GB2312" w:eastAsia="仿宋_GB2312" w:cs="仿宋_GB2312"/>
          <w:b w:val="0"/>
          <w:bCs w:val="0"/>
          <w:color w:val="auto"/>
          <w:spacing w:val="8"/>
          <w:sz w:val="32"/>
          <w:szCs w:val="32"/>
          <w:highlight w:val="none"/>
          <w:lang w:val="en-US" w:eastAsia="zh-CN"/>
        </w:rPr>
        <w:t>2.应是学校开展实验教学的基本单元，符合实验教学培养目标，纳入本专业教学计划，不少于2个课时，有两个轮次的教学应用，且教学效果优良、开放共享有效的实验教学课程。</w:t>
      </w:r>
    </w:p>
    <w:p w14:paraId="26F9FD36">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40" w:right="11" w:firstLine="624"/>
        <w:textAlignment w:val="baseline"/>
        <w:rPr>
          <w:rFonts w:hint="eastAsia" w:ascii="仿宋_GB2312" w:hAnsi="仿宋_GB2312" w:eastAsia="仿宋_GB2312" w:cs="仿宋_GB2312"/>
          <w:b w:val="0"/>
          <w:bCs w:val="0"/>
          <w:color w:val="auto"/>
          <w:spacing w:val="8"/>
          <w:sz w:val="32"/>
          <w:szCs w:val="32"/>
          <w:highlight w:val="none"/>
          <w:lang w:val="en-US" w:eastAsia="zh-CN"/>
        </w:rPr>
      </w:pPr>
      <w:r>
        <w:rPr>
          <w:rFonts w:hint="eastAsia" w:ascii="仿宋_GB2312" w:hAnsi="仿宋_GB2312" w:eastAsia="仿宋_GB2312" w:cs="仿宋_GB2312"/>
          <w:b w:val="0"/>
          <w:bCs w:val="0"/>
          <w:color w:val="auto"/>
          <w:spacing w:val="8"/>
          <w:sz w:val="32"/>
          <w:szCs w:val="32"/>
          <w:highlight w:val="none"/>
          <w:lang w:val="en-US" w:eastAsia="zh-CN"/>
        </w:rPr>
        <w:t>3.仿真设计要体现客观结构、功能及其运动规律，应着力于还原真实实验的教学要求、实验原理、操作环境及互动感受。</w:t>
      </w:r>
    </w:p>
    <w:p w14:paraId="47E9BC21">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40" w:right="11" w:firstLine="624"/>
        <w:textAlignment w:val="baseline"/>
        <w:rPr>
          <w:rFonts w:hint="eastAsia" w:ascii="仿宋_GB2312" w:hAnsi="仿宋_GB2312" w:eastAsia="仿宋_GB2312" w:cs="仿宋_GB2312"/>
          <w:b w:val="0"/>
          <w:bCs w:val="0"/>
          <w:color w:val="auto"/>
          <w:spacing w:val="8"/>
          <w:sz w:val="32"/>
          <w:szCs w:val="32"/>
          <w:highlight w:val="none"/>
          <w:lang w:val="en-US" w:eastAsia="zh-CN"/>
        </w:rPr>
      </w:pPr>
      <w:r>
        <w:rPr>
          <w:rFonts w:hint="eastAsia" w:ascii="仿宋_GB2312" w:hAnsi="仿宋_GB2312" w:eastAsia="仿宋_GB2312" w:cs="仿宋_GB2312"/>
          <w:b w:val="0"/>
          <w:bCs w:val="0"/>
          <w:color w:val="auto"/>
          <w:spacing w:val="8"/>
          <w:sz w:val="32"/>
          <w:szCs w:val="32"/>
          <w:highlight w:val="none"/>
          <w:lang w:val="en-US" w:eastAsia="zh-CN"/>
        </w:rPr>
        <w:t>4.应为包含多门课程原理、方法和技术，培养学生融会贯通专业课程、应用相关知识通过自主设计解决实际问题的能力的综合设计型实验及以学科或行业发展前沿问题为选题，以学生自主设计为基本要求，引导学生洞悉、探索学科前沿，不断激发学生创新兴趣的研究探索型实验。</w:t>
      </w:r>
    </w:p>
    <w:p w14:paraId="1270DC61">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40" w:right="11" w:firstLine="624"/>
        <w:textAlignment w:val="baseline"/>
        <w:rPr>
          <w:rFonts w:hint="eastAsia" w:ascii="仿宋_GB2312" w:hAnsi="仿宋_GB2312" w:eastAsia="仿宋_GB2312" w:cs="仿宋_GB2312"/>
          <w:b w:val="0"/>
          <w:bCs w:val="0"/>
          <w:color w:val="auto"/>
          <w:spacing w:val="8"/>
          <w:sz w:val="32"/>
          <w:szCs w:val="32"/>
          <w:highlight w:val="none"/>
          <w:lang w:val="en-US" w:eastAsia="zh-CN"/>
        </w:rPr>
      </w:pPr>
      <w:r>
        <w:rPr>
          <w:rFonts w:hint="eastAsia" w:ascii="仿宋_GB2312" w:hAnsi="仿宋_GB2312" w:eastAsia="仿宋_GB2312" w:cs="仿宋_GB2312"/>
          <w:b w:val="0"/>
          <w:bCs w:val="0"/>
          <w:color w:val="auto"/>
          <w:spacing w:val="8"/>
          <w:sz w:val="32"/>
          <w:szCs w:val="32"/>
          <w:highlight w:val="none"/>
          <w:lang w:val="en-US" w:eastAsia="zh-CN"/>
        </w:rPr>
        <w:t>5.除马克思主义理论学类课程可以为体验式设计外，其余应能够根据学生不同的实验操作或者不同的探究行为产生反馈，保证实验结果的真实性与可靠性。学生实际参与的交互性实验操作步骤须不少于10步。</w:t>
      </w:r>
    </w:p>
    <w:p w14:paraId="45760BEC">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40" w:right="11" w:firstLine="624"/>
        <w:textAlignment w:val="baseline"/>
        <w:rPr>
          <w:rFonts w:hint="eastAsia" w:ascii="仿宋_GB2312" w:hAnsi="仿宋_GB2312" w:eastAsia="仿宋_GB2312" w:cs="仿宋_GB2312"/>
          <w:b w:val="0"/>
          <w:bCs w:val="0"/>
          <w:color w:val="auto"/>
          <w:spacing w:val="8"/>
          <w:sz w:val="32"/>
          <w:szCs w:val="32"/>
          <w:highlight w:val="none"/>
          <w:lang w:val="en-US" w:eastAsia="zh-CN"/>
        </w:rPr>
      </w:pPr>
      <w:r>
        <w:rPr>
          <w:rFonts w:hint="eastAsia" w:ascii="仿宋_GB2312" w:hAnsi="仿宋_GB2312" w:eastAsia="仿宋_GB2312" w:cs="仿宋_GB2312"/>
          <w:b w:val="0"/>
          <w:bCs w:val="0"/>
          <w:color w:val="auto"/>
          <w:spacing w:val="8"/>
          <w:sz w:val="32"/>
          <w:szCs w:val="32"/>
          <w:highlight w:val="none"/>
          <w:lang w:val="en-US" w:eastAsia="zh-CN"/>
        </w:rPr>
        <w:t>6.应基于具有开发、修改、传播、售卖等授权的软件或完全自主研发的软件进行开发，拒绝使用基于有使用范围限制的免费版或盗版软件开发的课程申报。课程的教学设计须具有原创性，课程所属单位须对课程单独享有或者与合作开发的自然人、法人或其他组织共同享有软件著作权（共享权自申报之日起5年以上）。鼓励课程所属单位享有独立软件著作权，以便于持续在线开放共享与升级维护。</w:t>
      </w:r>
    </w:p>
    <w:p w14:paraId="13131872">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40" w:right="11" w:firstLine="624"/>
        <w:textAlignment w:val="baseline"/>
        <w:rPr>
          <w:rFonts w:hint="eastAsia" w:ascii="仿宋_GB2312" w:hAnsi="仿宋_GB2312" w:eastAsia="仿宋_GB2312" w:cs="仿宋_GB2312"/>
          <w:b w:val="0"/>
          <w:bCs w:val="0"/>
          <w:color w:val="auto"/>
          <w:spacing w:val="8"/>
          <w:sz w:val="32"/>
          <w:szCs w:val="32"/>
          <w:highlight w:val="none"/>
          <w:lang w:val="en-US" w:eastAsia="zh-CN"/>
        </w:rPr>
      </w:pPr>
      <w:r>
        <w:rPr>
          <w:rFonts w:hint="eastAsia" w:ascii="仿宋_GB2312" w:hAnsi="仿宋_GB2312" w:eastAsia="仿宋_GB2312" w:cs="仿宋_GB2312"/>
          <w:b w:val="0"/>
          <w:bCs w:val="0"/>
          <w:color w:val="auto"/>
          <w:spacing w:val="8"/>
          <w:sz w:val="32"/>
          <w:szCs w:val="32"/>
          <w:highlight w:val="none"/>
          <w:lang w:val="en-US" w:eastAsia="zh-CN"/>
        </w:rPr>
        <w:t>7.有效链接网址应直接指向该实验，且保持链接畅通；应确保在承诺并发数以内的网络实验请求及时响应和对超过并发数的实验请求提供排队提示服务。</w:t>
      </w:r>
    </w:p>
    <w:p w14:paraId="7EFAB400">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40" w:right="11" w:firstLine="624"/>
        <w:textAlignment w:val="baseline"/>
        <w:rPr>
          <w:rFonts w:hint="eastAsia" w:ascii="仿宋_GB2312" w:hAnsi="仿宋_GB2312" w:eastAsia="仿宋_GB2312" w:cs="仿宋_GB2312"/>
          <w:b w:val="0"/>
          <w:bCs w:val="0"/>
          <w:color w:val="auto"/>
          <w:spacing w:val="8"/>
          <w:sz w:val="32"/>
          <w:szCs w:val="32"/>
          <w:highlight w:val="none"/>
          <w:lang w:val="en-US" w:eastAsia="zh-CN"/>
        </w:rPr>
      </w:pPr>
      <w:r>
        <w:rPr>
          <w:rFonts w:hint="eastAsia" w:ascii="仿宋_GB2312" w:hAnsi="仿宋_GB2312" w:eastAsia="仿宋_GB2312" w:cs="仿宋_GB2312"/>
          <w:b w:val="0"/>
          <w:bCs w:val="0"/>
          <w:color w:val="auto"/>
          <w:spacing w:val="8"/>
          <w:sz w:val="32"/>
          <w:szCs w:val="32"/>
          <w:highlight w:val="none"/>
          <w:lang w:val="en-US" w:eastAsia="zh-CN"/>
        </w:rPr>
        <w:t>8.网络安全责任主体为课程所属二级学院（部门），实验系统应符合《信息安全等级保护管理办法》中至少二级等保的相关要求，并提供由第三方专业测评机构出具的证明材料。</w:t>
      </w:r>
    </w:p>
    <w:p w14:paraId="020E5C8A">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675"/>
        <w:textAlignment w:val="baseline"/>
        <w:rPr>
          <w:rFonts w:hint="eastAsia" w:ascii="黑体" w:hAnsi="黑体" w:eastAsia="黑体" w:cs="黑体"/>
          <w:b/>
          <w:bCs/>
          <w:color w:val="auto"/>
          <w:spacing w:val="1"/>
          <w:sz w:val="32"/>
          <w:szCs w:val="32"/>
          <w:highlight w:val="none"/>
          <w:lang w:val="en-US" w:eastAsia="zh-CN"/>
        </w:rPr>
      </w:pPr>
      <w:r>
        <w:rPr>
          <w:rFonts w:hint="eastAsia" w:ascii="黑体" w:hAnsi="黑体" w:eastAsia="黑体" w:cs="黑体"/>
          <w:b/>
          <w:bCs/>
          <w:color w:val="auto"/>
          <w:spacing w:val="1"/>
          <w:sz w:val="32"/>
          <w:szCs w:val="32"/>
          <w:highlight w:val="none"/>
          <w:lang w:val="en-US" w:eastAsia="zh-CN"/>
        </w:rPr>
        <w:t>五、“三进”专项一流本科课程</w:t>
      </w:r>
    </w:p>
    <w:p w14:paraId="36FA9BE7">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40" w:right="11" w:firstLine="624"/>
        <w:jc w:val="both"/>
        <w:textAlignment w:val="baseline"/>
        <w:rPr>
          <w:rFonts w:hint="eastAsia" w:ascii="仿宋_GB2312" w:hAnsi="仿宋_GB2312" w:eastAsia="仿宋_GB2312" w:cs="仿宋_GB2312"/>
          <w:b w:val="0"/>
          <w:bCs w:val="0"/>
          <w:color w:val="auto"/>
          <w:spacing w:val="8"/>
          <w:sz w:val="32"/>
          <w:szCs w:val="32"/>
          <w:highlight w:val="none"/>
          <w:lang w:val="en-US" w:eastAsia="zh-CN"/>
        </w:rPr>
      </w:pPr>
      <w:r>
        <w:rPr>
          <w:rFonts w:hint="eastAsia" w:ascii="仿宋_GB2312" w:hAnsi="仿宋_GB2312" w:eastAsia="仿宋_GB2312" w:cs="仿宋_GB2312"/>
          <w:b w:val="0"/>
          <w:bCs w:val="0"/>
          <w:color w:val="auto"/>
          <w:spacing w:val="8"/>
          <w:sz w:val="32"/>
          <w:szCs w:val="32"/>
          <w:highlight w:val="none"/>
          <w:lang w:val="en-US" w:eastAsia="zh-CN"/>
        </w:rPr>
        <w:t>根据《湖州学院推进〈习近平谈治国理政〉多语种版本“三进”教学工作实施方案》，特设“三进”专项一流本科课程，立项类型主要为线上线下混合式、线下一流本科课程。立项课程要求依据“三进”工作要求，围绕党和国家发展的战略大局，着眼“立德树人、传声立言、话语建设”，高站位高标准精心谋划实施“三进”工作，充分发挥“三进”工作</w:t>
      </w:r>
      <w:bookmarkStart w:id="0" w:name="_GoBack"/>
      <w:bookmarkEnd w:id="0"/>
      <w:r>
        <w:rPr>
          <w:rFonts w:hint="eastAsia" w:ascii="仿宋_GB2312" w:hAnsi="仿宋_GB2312" w:eastAsia="仿宋_GB2312" w:cs="仿宋_GB2312"/>
          <w:b w:val="0"/>
          <w:bCs w:val="0"/>
          <w:color w:val="auto"/>
          <w:spacing w:val="8"/>
          <w:sz w:val="32"/>
          <w:szCs w:val="32"/>
          <w:highlight w:val="none"/>
          <w:lang w:val="en-US" w:eastAsia="zh-CN"/>
        </w:rPr>
        <w:t>在培养外语类学生深入理解中国国情、党情、民情、浙江省情、湖州市情，涵养家国情怀和开阔国际视野的作用，强化基于价值塑造的外语课程思政教学任务设计，增强外语类人才对中国特色社会主义的“四个自信”，增强讲好中国故事、浙江故事、湖州故事的底气、士气、才气，当好中外融通的桥梁。着力培养新时代具有家国情怀、兼具外语技能和国际传播能力的高素质应用型专业人才。</w:t>
      </w:r>
    </w:p>
    <w:p w14:paraId="6E465113">
      <w:pPr>
        <w:keepNext w:val="0"/>
        <w:keepLines w:val="0"/>
        <w:pageBreakBefore w:val="0"/>
        <w:widowControl/>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p>
    <w:p w14:paraId="140A101E">
      <w:pPr>
        <w:keepNext w:val="0"/>
        <w:keepLines w:val="0"/>
        <w:pageBreakBefore w:val="0"/>
        <w:widowControl/>
        <w:kinsoku/>
        <w:wordWrap/>
        <w:overflowPunct/>
        <w:topLinePunct w:val="0"/>
        <w:autoSpaceDE/>
        <w:autoSpaceDN/>
        <w:bidi w:val="0"/>
        <w:adjustRightInd/>
        <w:snapToGrid w:val="0"/>
        <w:spacing w:line="58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p>
    <w:p w14:paraId="075E2FCF">
      <w:pPr>
        <w:keepNext w:val="0"/>
        <w:keepLines w:val="0"/>
        <w:pageBreakBefore w:val="0"/>
        <w:widowControl/>
        <w:kinsoku/>
        <w:wordWrap/>
        <w:overflowPunct/>
        <w:topLinePunct w:val="0"/>
        <w:autoSpaceDE/>
        <w:autoSpaceDN/>
        <w:bidi w:val="0"/>
        <w:adjustRightInd/>
        <w:snapToGrid w:val="0"/>
        <w:spacing w:line="58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p>
    <w:p w14:paraId="1C6C7676">
      <w:pPr>
        <w:keepNext w:val="0"/>
        <w:keepLines w:val="0"/>
        <w:pageBreakBefore w:val="0"/>
        <w:widowControl/>
        <w:kinsoku/>
        <w:wordWrap/>
        <w:overflowPunct/>
        <w:topLinePunct w:val="0"/>
        <w:autoSpaceDE/>
        <w:autoSpaceDN/>
        <w:bidi w:val="0"/>
        <w:adjustRightInd/>
        <w:snapToGrid w:val="0"/>
        <w:spacing w:line="580" w:lineRule="exact"/>
        <w:ind w:firstLine="640" w:firstLineChars="200"/>
        <w:jc w:val="center"/>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 xml:space="preserve">                                    教务处</w:t>
      </w:r>
    </w:p>
    <w:p w14:paraId="6688F455">
      <w:pPr>
        <w:keepNext w:val="0"/>
        <w:keepLines w:val="0"/>
        <w:pageBreakBefore w:val="0"/>
        <w:widowControl/>
        <w:kinsoku/>
        <w:wordWrap/>
        <w:overflowPunct/>
        <w:topLinePunct w:val="0"/>
        <w:autoSpaceDE/>
        <w:autoSpaceDN/>
        <w:bidi w:val="0"/>
        <w:adjustRightInd/>
        <w:snapToGrid w:val="0"/>
        <w:spacing w:line="580" w:lineRule="exact"/>
        <w:ind w:firstLine="640" w:firstLineChars="200"/>
        <w:jc w:val="right"/>
        <w:textAlignment w:val="auto"/>
        <w:rPr>
          <w:rFonts w:hint="default"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2024年10月29日</w:t>
      </w:r>
    </w:p>
    <w:sectPr>
      <w:pgSz w:w="11906" w:h="16839"/>
      <w:pgMar w:top="1928" w:right="1417" w:bottom="1984" w:left="1474"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WY4ZTdkNjk0OGJkOGNhN2Q0OTliNmZkYjk3NjRiODEifQ=="/>
  </w:docVars>
  <w:rsids>
    <w:rsidRoot w:val="00000000"/>
    <w:rsid w:val="0AFA0737"/>
    <w:rsid w:val="0CDD1A85"/>
    <w:rsid w:val="1503457C"/>
    <w:rsid w:val="1D3C7F8E"/>
    <w:rsid w:val="1EAC0B9B"/>
    <w:rsid w:val="25B06DFF"/>
    <w:rsid w:val="28500425"/>
    <w:rsid w:val="294421A0"/>
    <w:rsid w:val="2AFC4894"/>
    <w:rsid w:val="2BE21CDC"/>
    <w:rsid w:val="2EAF0831"/>
    <w:rsid w:val="30B40A71"/>
    <w:rsid w:val="394538AA"/>
    <w:rsid w:val="3E8907B9"/>
    <w:rsid w:val="41D8350E"/>
    <w:rsid w:val="43762FDE"/>
    <w:rsid w:val="44DC71BC"/>
    <w:rsid w:val="4DC45D4A"/>
    <w:rsid w:val="4EC06070"/>
    <w:rsid w:val="53B01749"/>
    <w:rsid w:val="59E7658C"/>
    <w:rsid w:val="5AD46357"/>
    <w:rsid w:val="5D2D3B6F"/>
    <w:rsid w:val="60194FC5"/>
    <w:rsid w:val="65660CAD"/>
    <w:rsid w:val="65750A75"/>
    <w:rsid w:val="678A29A0"/>
    <w:rsid w:val="68060A88"/>
    <w:rsid w:val="69384FCE"/>
    <w:rsid w:val="70D540F2"/>
    <w:rsid w:val="74442868"/>
    <w:rsid w:val="7F712B6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微软雅黑" w:hAnsi="微软雅黑" w:eastAsia="微软雅黑" w:cs="微软雅黑"/>
      <w:sz w:val="31"/>
      <w:szCs w:val="3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4</Pages>
  <Words>1755</Words>
  <Characters>1779</Characters>
  <TotalTime>9</TotalTime>
  <ScaleCrop>false</ScaleCrop>
  <LinksUpToDate>false</LinksUpToDate>
  <CharactersWithSpaces>1817</CharactersWithSpaces>
  <Application>WPS Office_12.1.0.17827_F1E327BC-269C-435d-A152-05C5408002CA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2023-11-27T15:42:00Z</dcterms:created>
  <dc:creator>hep</dc:creator>
  <cp:lastModifiedBy>阳利</cp:lastModifiedBy>
  <cp:lastPrinted>2023-12-26T00:54:00Z</cp:lastPrinted>
  <dcterms:modified xsi:type="dcterms:W3CDTF">2024-11-01T05:56:19Z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2023-12-22T16:38:19Z</vt:filetime>
  </property>
  <property fmtid="{D5CDD505-2E9C-101B-9397-08002B2CF9AE}" pid="4" name="KSOProductBuildVer">
    <vt:lpwstr>2052-12.1.0.17827</vt:lpwstr>
  </property>
  <property fmtid="{D5CDD505-2E9C-101B-9397-08002B2CF9AE}" pid="5" name="ICV">
    <vt:lpwstr>2B08B9C03F514A04823E2BB233859F1D_12</vt:lpwstr>
  </property>
</Properties>
</file>